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0083d9393da14c5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534" w:rsidRPr="002A7FEF" w:rsidRDefault="00100534" w:rsidP="00100534">
      <w:pPr>
        <w:spacing w:after="0" w:line="300" w:lineRule="auto"/>
        <w:jc w:val="center"/>
        <w:rPr>
          <w:rFonts w:ascii="Times New Roman" w:hAnsi="Times New Roman"/>
          <w:b/>
          <w:sz w:val="24"/>
          <w:szCs w:val="24"/>
          <w:lang w:val="nl-NL"/>
        </w:rPr>
      </w:pPr>
      <w:r w:rsidRPr="002A7FEF">
        <w:rPr>
          <w:rFonts w:ascii="Times New Roman" w:hAnsi="Times New Roman"/>
          <w:b/>
          <w:sz w:val="24"/>
          <w:szCs w:val="24"/>
          <w:lang w:val="nl-NL"/>
        </w:rPr>
        <w:t>Phụ lục số 28</w:t>
      </w:r>
    </w:p>
    <w:p w:rsidR="00100534" w:rsidRPr="002A7FEF" w:rsidRDefault="00100534" w:rsidP="00100534">
      <w:pPr>
        <w:spacing w:after="0" w:line="300" w:lineRule="auto"/>
        <w:jc w:val="center"/>
        <w:rPr>
          <w:rFonts w:ascii="Times New Roman" w:hAnsi="Times New Roman"/>
          <w:b/>
          <w:sz w:val="24"/>
          <w:szCs w:val="24"/>
          <w:lang w:val="nl-NL"/>
        </w:rPr>
      </w:pPr>
      <w:r w:rsidRPr="002A7FEF">
        <w:rPr>
          <w:rFonts w:ascii="Times New Roman" w:hAnsi="Times New Roman"/>
          <w:b/>
          <w:sz w:val="24"/>
          <w:szCs w:val="24"/>
          <w:lang w:val="nl-NL"/>
        </w:rPr>
        <w:t>Nội dung Báo cáo tổng kết hoạt động quản lý quỹ</w:t>
      </w:r>
    </w:p>
    <w:p w:rsidR="00100534" w:rsidRPr="002A7FEF" w:rsidRDefault="00100534" w:rsidP="00100534">
      <w:pPr>
        <w:spacing w:after="0" w:line="300" w:lineRule="auto"/>
        <w:jc w:val="center"/>
        <w:rPr>
          <w:rFonts w:ascii="Times New Roman" w:hAnsi="Times New Roman"/>
          <w:i/>
          <w:sz w:val="24"/>
          <w:szCs w:val="24"/>
          <w:lang w:val="nl-NL"/>
        </w:rPr>
      </w:pPr>
      <w:r w:rsidRPr="002A7FEF">
        <w:rPr>
          <w:rFonts w:ascii="Times New Roman" w:hAnsi="Times New Roman"/>
          <w:i/>
          <w:sz w:val="24"/>
          <w:szCs w:val="24"/>
          <w:lang w:val="nl-NL"/>
        </w:rPr>
        <w:t>(ban hành kèm theo Thông tư hướng dẫn về việc thành lập và quản lý quỹ mở)</w:t>
      </w:r>
    </w:p>
    <w:p w:rsidR="00100534" w:rsidRPr="002A7FEF" w:rsidRDefault="00100534" w:rsidP="00100534">
      <w:pPr>
        <w:spacing w:after="0" w:line="300" w:lineRule="auto"/>
        <w:jc w:val="center"/>
        <w:rPr>
          <w:rFonts w:ascii="Times New Roman" w:hAnsi="Times New Roman"/>
          <w:b/>
          <w:sz w:val="24"/>
          <w:szCs w:val="24"/>
          <w:lang w:val="nl-NL"/>
        </w:rPr>
      </w:pPr>
    </w:p>
    <w:p w:rsidR="00100534" w:rsidRPr="001123FF" w:rsidRDefault="00100534" w:rsidP="00100534">
      <w:pPr>
        <w:spacing w:after="0" w:line="300" w:lineRule="auto"/>
        <w:jc w:val="center"/>
        <w:rPr>
          <w:rFonts w:ascii="Times New Roman" w:hAnsi="Times New Roman"/>
          <w:b/>
          <w:sz w:val="28"/>
          <w:szCs w:val="28"/>
          <w:lang w:val="nl-NL"/>
        </w:rPr>
      </w:pPr>
      <w:r w:rsidRPr="001123FF">
        <w:rPr>
          <w:rFonts w:ascii="Times New Roman" w:hAnsi="Times New Roman"/>
          <w:b/>
          <w:sz w:val="28"/>
          <w:szCs w:val="28"/>
          <w:lang w:val="nl-NL"/>
        </w:rPr>
        <w:t>BÁO CÁO TỔNG KẾT HOẠT ĐỘNG QUẢN LÝ QUỸ</w:t>
      </w:r>
    </w:p>
    <w:p w:rsidR="00100534" w:rsidRPr="006A422D" w:rsidRDefault="00100534" w:rsidP="00100534">
      <w:pPr>
        <w:spacing w:after="0" w:line="300" w:lineRule="auto"/>
        <w:jc w:val="center"/>
        <w:rPr>
          <w:rFonts w:ascii="Times New Roman" w:hAnsi="Times New Roman"/>
          <w:i/>
          <w:sz w:val="24"/>
          <w:szCs w:val="24"/>
          <w:lang w:val="nl-NL"/>
        </w:rPr>
      </w:pPr>
      <w:r w:rsidRPr="006A422D">
        <w:rPr>
          <w:rFonts w:ascii="Times New Roman" w:hAnsi="Times New Roman"/>
          <w:i/>
          <w:sz w:val="24"/>
          <w:szCs w:val="24"/>
          <w:lang w:val="nl-NL"/>
        </w:rPr>
        <w:t>(</w:t>
      </w:r>
      <w:r w:rsidR="000A2248" w:rsidRPr="006A422D">
        <w:rPr>
          <w:rFonts w:ascii="Times New Roman" w:hAnsi="Times New Roman"/>
          <w:i/>
          <w:sz w:val="24"/>
          <w:szCs w:val="24"/>
          <w:lang w:val="nl-NL"/>
        </w:rPr>
        <w:t>Bán niên 2019</w:t>
      </w:r>
      <w:r w:rsidRPr="006A422D">
        <w:rPr>
          <w:rFonts w:ascii="Times New Roman" w:hAnsi="Times New Roman"/>
          <w:i/>
          <w:sz w:val="24"/>
          <w:szCs w:val="24"/>
          <w:lang w:val="nl-NL"/>
        </w:rPr>
        <w:t>)</w:t>
      </w:r>
      <w:bookmarkStart w:id="0" w:name="_GoBack"/>
      <w:bookmarkEnd w:id="0"/>
    </w:p>
    <w:p w:rsidR="00100534" w:rsidRPr="002A7FEF" w:rsidRDefault="00100534" w:rsidP="00100534">
      <w:pPr>
        <w:spacing w:after="0" w:line="300" w:lineRule="auto"/>
        <w:jc w:val="center"/>
        <w:rPr>
          <w:rFonts w:ascii="Times New Roman" w:hAnsi="Times New Roman"/>
          <w:b/>
          <w:sz w:val="24"/>
          <w:szCs w:val="24"/>
          <w:lang w:val="nl-NL"/>
        </w:rPr>
      </w:pPr>
    </w:p>
    <w:p w:rsidR="00100534" w:rsidRPr="002A7FEF" w:rsidRDefault="00100534" w:rsidP="004352B7">
      <w:pPr>
        <w:pStyle w:val="ListParagraph"/>
        <w:numPr>
          <w:ilvl w:val="0"/>
          <w:numId w:val="1"/>
        </w:numPr>
        <w:tabs>
          <w:tab w:val="left" w:pos="270"/>
          <w:tab w:val="left" w:pos="1134"/>
        </w:tabs>
        <w:spacing w:before="120" w:after="120" w:line="300" w:lineRule="auto"/>
        <w:ind w:left="0" w:firstLine="0"/>
        <w:contextualSpacing w:val="0"/>
        <w:jc w:val="both"/>
        <w:rPr>
          <w:rFonts w:ascii="Times New Roman" w:hAnsi="Times New Roman"/>
          <w:b/>
          <w:sz w:val="24"/>
          <w:szCs w:val="24"/>
        </w:rPr>
      </w:pPr>
      <w:r w:rsidRPr="002A7FEF">
        <w:rPr>
          <w:rFonts w:ascii="Times New Roman" w:hAnsi="Times New Roman"/>
          <w:b/>
          <w:sz w:val="24"/>
          <w:szCs w:val="24"/>
        </w:rPr>
        <w:t xml:space="preserve">Thông tin về </w:t>
      </w:r>
      <w:r w:rsidR="00BC38CC">
        <w:rPr>
          <w:rFonts w:ascii="Times New Roman" w:hAnsi="Times New Roman"/>
          <w:b/>
          <w:sz w:val="24"/>
          <w:szCs w:val="24"/>
        </w:rPr>
        <w:t>q</w:t>
      </w:r>
      <w:r w:rsidRPr="002A7FEF">
        <w:rPr>
          <w:rFonts w:ascii="Times New Roman" w:hAnsi="Times New Roman"/>
          <w:b/>
          <w:sz w:val="24"/>
          <w:szCs w:val="24"/>
        </w:rPr>
        <w:t>uỹ</w:t>
      </w:r>
    </w:p>
    <w:p w:rsidR="000A2248" w:rsidRPr="002A7FEF" w:rsidRDefault="00100534" w:rsidP="004352B7">
      <w:pPr>
        <w:pStyle w:val="ListParagraph"/>
        <w:numPr>
          <w:ilvl w:val="0"/>
          <w:numId w:val="2"/>
        </w:numPr>
        <w:tabs>
          <w:tab w:val="left" w:pos="270"/>
          <w:tab w:val="left" w:pos="1134"/>
        </w:tabs>
        <w:spacing w:before="120" w:after="120" w:line="300" w:lineRule="auto"/>
        <w:ind w:left="0" w:firstLine="0"/>
        <w:contextualSpacing w:val="0"/>
        <w:jc w:val="both"/>
        <w:rPr>
          <w:rFonts w:ascii="Times New Roman" w:hAnsi="Times New Roman"/>
          <w:sz w:val="24"/>
          <w:szCs w:val="24"/>
        </w:rPr>
      </w:pPr>
      <w:r w:rsidRPr="002A7FEF">
        <w:rPr>
          <w:rFonts w:ascii="Times New Roman" w:hAnsi="Times New Roman"/>
          <w:sz w:val="24"/>
          <w:szCs w:val="24"/>
        </w:rPr>
        <w:t xml:space="preserve">Tên của </w:t>
      </w:r>
      <w:r w:rsidR="00BC38CC">
        <w:rPr>
          <w:rFonts w:ascii="Times New Roman" w:hAnsi="Times New Roman"/>
          <w:sz w:val="24"/>
          <w:szCs w:val="24"/>
        </w:rPr>
        <w:t>q</w:t>
      </w:r>
      <w:r w:rsidRPr="002A7FEF">
        <w:rPr>
          <w:rFonts w:ascii="Times New Roman" w:hAnsi="Times New Roman"/>
          <w:sz w:val="24"/>
          <w:szCs w:val="24"/>
        </w:rPr>
        <w:t xml:space="preserve">uỹ, loại hình </w:t>
      </w:r>
      <w:r w:rsidR="00BC38CC">
        <w:rPr>
          <w:rFonts w:ascii="Times New Roman" w:hAnsi="Times New Roman"/>
          <w:sz w:val="24"/>
          <w:szCs w:val="24"/>
        </w:rPr>
        <w:t>q</w:t>
      </w:r>
      <w:r w:rsidRPr="002A7FEF">
        <w:rPr>
          <w:rFonts w:ascii="Times New Roman" w:hAnsi="Times New Roman"/>
          <w:sz w:val="24"/>
          <w:szCs w:val="24"/>
        </w:rPr>
        <w:t>uỹ</w:t>
      </w:r>
      <w:r w:rsidR="000A2248" w:rsidRPr="002A7FEF">
        <w:rPr>
          <w:rFonts w:ascii="Times New Roman" w:hAnsi="Times New Roman"/>
          <w:sz w:val="24"/>
          <w:szCs w:val="24"/>
        </w:rPr>
        <w:t>:</w:t>
      </w:r>
    </w:p>
    <w:p w:rsidR="000A2248" w:rsidRPr="004D7F59" w:rsidRDefault="000A2248" w:rsidP="004352B7">
      <w:pPr>
        <w:pStyle w:val="ListParagraph"/>
        <w:numPr>
          <w:ilvl w:val="0"/>
          <w:numId w:val="7"/>
        </w:numPr>
        <w:tabs>
          <w:tab w:val="left" w:pos="270"/>
          <w:tab w:val="left" w:pos="1134"/>
        </w:tabs>
        <w:spacing w:before="120" w:after="120" w:line="300" w:lineRule="auto"/>
        <w:contextualSpacing w:val="0"/>
        <w:jc w:val="both"/>
        <w:rPr>
          <w:rFonts w:ascii="Times New Roman" w:hAnsi="Times New Roman"/>
          <w:b/>
          <w:sz w:val="24"/>
          <w:szCs w:val="24"/>
        </w:rPr>
      </w:pPr>
      <w:r w:rsidRPr="002A7FEF">
        <w:rPr>
          <w:rFonts w:ascii="Times New Roman" w:hAnsi="Times New Roman"/>
          <w:sz w:val="24"/>
          <w:szCs w:val="24"/>
        </w:rPr>
        <w:t xml:space="preserve">Tên quỹ: </w:t>
      </w:r>
      <w:r w:rsidRPr="004D7F59">
        <w:rPr>
          <w:rFonts w:ascii="Times New Roman" w:hAnsi="Times New Roman"/>
          <w:b/>
          <w:i/>
          <w:sz w:val="24"/>
          <w:szCs w:val="24"/>
        </w:rPr>
        <w:t>Quỹ Đầu Tư Tăng Trưởng DFVN</w:t>
      </w:r>
    </w:p>
    <w:p w:rsidR="00AE6D17" w:rsidRPr="00AE6D17" w:rsidRDefault="000A2248" w:rsidP="004352B7">
      <w:pPr>
        <w:pStyle w:val="ListParagraph"/>
        <w:numPr>
          <w:ilvl w:val="0"/>
          <w:numId w:val="7"/>
        </w:numPr>
        <w:tabs>
          <w:tab w:val="left" w:pos="270"/>
          <w:tab w:val="left" w:pos="1134"/>
        </w:tabs>
        <w:spacing w:before="120" w:after="120" w:line="300" w:lineRule="auto"/>
        <w:contextualSpacing w:val="0"/>
        <w:jc w:val="both"/>
        <w:rPr>
          <w:rFonts w:ascii="Times New Roman" w:hAnsi="Times New Roman"/>
          <w:sz w:val="24"/>
          <w:szCs w:val="24"/>
        </w:rPr>
      </w:pPr>
      <w:r w:rsidRPr="002A7FEF">
        <w:rPr>
          <w:rFonts w:ascii="Times New Roman" w:hAnsi="Times New Roman"/>
          <w:sz w:val="24"/>
          <w:szCs w:val="24"/>
        </w:rPr>
        <w:t xml:space="preserve">Loại hình quỹ: </w:t>
      </w:r>
      <w:r w:rsidRPr="002A7FEF">
        <w:rPr>
          <w:rFonts w:ascii="Times New Roman" w:hAnsi="Times New Roman"/>
          <w:i/>
          <w:sz w:val="24"/>
          <w:szCs w:val="24"/>
        </w:rPr>
        <w:t>Quỹ mở</w:t>
      </w:r>
    </w:p>
    <w:p w:rsidR="00100534" w:rsidRPr="002A7FEF" w:rsidRDefault="00100534" w:rsidP="004352B7">
      <w:pPr>
        <w:pStyle w:val="ListParagraph"/>
        <w:numPr>
          <w:ilvl w:val="0"/>
          <w:numId w:val="2"/>
        </w:numPr>
        <w:tabs>
          <w:tab w:val="left" w:pos="270"/>
          <w:tab w:val="left" w:pos="1134"/>
        </w:tabs>
        <w:spacing w:before="120" w:after="120" w:line="300" w:lineRule="auto"/>
        <w:ind w:left="0" w:firstLine="0"/>
        <w:contextualSpacing w:val="0"/>
        <w:jc w:val="both"/>
        <w:rPr>
          <w:rFonts w:ascii="Times New Roman" w:hAnsi="Times New Roman"/>
          <w:sz w:val="24"/>
          <w:szCs w:val="24"/>
        </w:rPr>
      </w:pPr>
      <w:r w:rsidRPr="002A7FEF">
        <w:rPr>
          <w:rFonts w:ascii="Times New Roman" w:hAnsi="Times New Roman"/>
          <w:sz w:val="24"/>
          <w:szCs w:val="24"/>
        </w:rPr>
        <w:t xml:space="preserve">Mục tiêu đầu tư của </w:t>
      </w:r>
      <w:r w:rsidR="004D7F59">
        <w:rPr>
          <w:rFonts w:ascii="Times New Roman" w:hAnsi="Times New Roman"/>
          <w:sz w:val="24"/>
          <w:szCs w:val="24"/>
        </w:rPr>
        <w:t>Q</w:t>
      </w:r>
      <w:r w:rsidRPr="002A7FEF">
        <w:rPr>
          <w:rFonts w:ascii="Times New Roman" w:hAnsi="Times New Roman"/>
          <w:sz w:val="24"/>
          <w:szCs w:val="24"/>
        </w:rPr>
        <w:t>uỹ</w:t>
      </w:r>
      <w:r w:rsidR="000A2248" w:rsidRPr="002A7FEF">
        <w:rPr>
          <w:rFonts w:ascii="Times New Roman" w:hAnsi="Times New Roman"/>
          <w:sz w:val="24"/>
          <w:szCs w:val="24"/>
        </w:rPr>
        <w:t>:</w:t>
      </w:r>
    </w:p>
    <w:p w:rsidR="000A2248" w:rsidRPr="002A7FEF" w:rsidRDefault="000A2248" w:rsidP="004352B7">
      <w:pPr>
        <w:pStyle w:val="ListParagraph"/>
        <w:tabs>
          <w:tab w:val="left" w:pos="270"/>
          <w:tab w:val="left" w:pos="1134"/>
        </w:tabs>
        <w:spacing w:before="120" w:after="120" w:line="300" w:lineRule="auto"/>
        <w:ind w:left="0"/>
        <w:contextualSpacing w:val="0"/>
        <w:jc w:val="both"/>
        <w:rPr>
          <w:rFonts w:ascii="Times New Roman" w:hAnsi="Times New Roman"/>
          <w:sz w:val="24"/>
          <w:szCs w:val="24"/>
        </w:rPr>
      </w:pPr>
      <w:r w:rsidRPr="002A7FEF">
        <w:rPr>
          <w:rFonts w:ascii="Times New Roman" w:hAnsi="Times New Roman"/>
          <w:sz w:val="24"/>
          <w:szCs w:val="24"/>
        </w:rPr>
        <w:t>Quỹ DFVN-CAF đặt mục tiêu tăng trưởng vốn và tài sản của Nhà đầu tư, phấn đấu cao hơn mức tăng trưởng của Thị trường Chứng khoán Việt Nam (VN-Index) trong dài hạn, bằng việc đầu tư chủ yếu vào các cổ phiếu niêm yết trên Thị trường Chứng khoán Việt Nam.</w:t>
      </w:r>
    </w:p>
    <w:p w:rsidR="00100534" w:rsidRPr="002A7FEF" w:rsidRDefault="00100534" w:rsidP="004352B7">
      <w:pPr>
        <w:pStyle w:val="ListParagraph"/>
        <w:numPr>
          <w:ilvl w:val="0"/>
          <w:numId w:val="2"/>
        </w:numPr>
        <w:tabs>
          <w:tab w:val="left" w:pos="270"/>
          <w:tab w:val="left" w:pos="1134"/>
        </w:tabs>
        <w:spacing w:before="120" w:after="120" w:line="300" w:lineRule="auto"/>
        <w:ind w:left="0" w:firstLine="0"/>
        <w:contextualSpacing w:val="0"/>
        <w:jc w:val="both"/>
        <w:rPr>
          <w:rFonts w:ascii="Times New Roman" w:hAnsi="Times New Roman"/>
          <w:sz w:val="24"/>
          <w:szCs w:val="24"/>
        </w:rPr>
      </w:pPr>
      <w:r w:rsidRPr="002A7FEF">
        <w:rPr>
          <w:rFonts w:ascii="Times New Roman" w:hAnsi="Times New Roman"/>
          <w:sz w:val="24"/>
          <w:szCs w:val="24"/>
        </w:rPr>
        <w:t>Thời hạn hoạt động của quỹ</w:t>
      </w:r>
      <w:r w:rsidR="000A2248" w:rsidRPr="002A7FEF">
        <w:rPr>
          <w:rFonts w:ascii="Times New Roman" w:hAnsi="Times New Roman"/>
          <w:sz w:val="24"/>
          <w:szCs w:val="24"/>
        </w:rPr>
        <w:t xml:space="preserve">: </w:t>
      </w:r>
      <w:r w:rsidR="000A2248" w:rsidRPr="002A7FEF">
        <w:rPr>
          <w:rFonts w:ascii="Times New Roman" w:hAnsi="Times New Roman"/>
          <w:i/>
          <w:sz w:val="24"/>
          <w:szCs w:val="24"/>
        </w:rPr>
        <w:t>không xác định</w:t>
      </w:r>
    </w:p>
    <w:p w:rsidR="00100534" w:rsidRPr="002A7FEF" w:rsidRDefault="00100534" w:rsidP="004352B7">
      <w:pPr>
        <w:pStyle w:val="ListParagraph"/>
        <w:numPr>
          <w:ilvl w:val="0"/>
          <w:numId w:val="2"/>
        </w:numPr>
        <w:tabs>
          <w:tab w:val="left" w:pos="270"/>
          <w:tab w:val="left" w:pos="1134"/>
        </w:tabs>
        <w:spacing w:before="120" w:after="120" w:line="300" w:lineRule="auto"/>
        <w:ind w:left="0" w:firstLine="0"/>
        <w:contextualSpacing w:val="0"/>
        <w:jc w:val="both"/>
        <w:rPr>
          <w:rFonts w:ascii="Times New Roman" w:hAnsi="Times New Roman"/>
          <w:sz w:val="24"/>
          <w:szCs w:val="24"/>
        </w:rPr>
      </w:pPr>
      <w:r w:rsidRPr="002A7FEF">
        <w:rPr>
          <w:rFonts w:ascii="Times New Roman" w:hAnsi="Times New Roman"/>
          <w:sz w:val="24"/>
          <w:szCs w:val="24"/>
        </w:rPr>
        <w:t>Danh mục tham chiếu (benchmark portfolio)</w:t>
      </w:r>
      <w:r w:rsidR="000A2248" w:rsidRPr="002A7FEF">
        <w:rPr>
          <w:rFonts w:ascii="Times New Roman" w:hAnsi="Times New Roman"/>
          <w:sz w:val="24"/>
          <w:szCs w:val="24"/>
        </w:rPr>
        <w:t xml:space="preserve">: </w:t>
      </w:r>
      <w:r w:rsidR="000A2248" w:rsidRPr="002A7FEF">
        <w:rPr>
          <w:rFonts w:ascii="Times New Roman" w:hAnsi="Times New Roman"/>
          <w:i/>
          <w:sz w:val="24"/>
          <w:szCs w:val="24"/>
        </w:rPr>
        <w:t>không áp dụng</w:t>
      </w:r>
    </w:p>
    <w:p w:rsidR="001C0E26" w:rsidRPr="002A7FEF" w:rsidRDefault="00100534" w:rsidP="004352B7">
      <w:pPr>
        <w:pStyle w:val="ListParagraph"/>
        <w:numPr>
          <w:ilvl w:val="0"/>
          <w:numId w:val="2"/>
        </w:numPr>
        <w:tabs>
          <w:tab w:val="left" w:pos="270"/>
          <w:tab w:val="left" w:pos="1134"/>
        </w:tabs>
        <w:spacing w:before="120" w:after="120" w:line="300" w:lineRule="auto"/>
        <w:ind w:left="0" w:firstLine="0"/>
        <w:contextualSpacing w:val="0"/>
        <w:jc w:val="both"/>
        <w:rPr>
          <w:rFonts w:ascii="Times New Roman" w:hAnsi="Times New Roman"/>
          <w:sz w:val="24"/>
          <w:szCs w:val="24"/>
        </w:rPr>
      </w:pPr>
      <w:r w:rsidRPr="002A7FEF">
        <w:rPr>
          <w:rFonts w:ascii="Times New Roman" w:hAnsi="Times New Roman"/>
          <w:sz w:val="24"/>
          <w:szCs w:val="24"/>
        </w:rPr>
        <w:t>Chính sách phân chia lợi nhuận</w:t>
      </w:r>
      <w:r w:rsidR="000A2248" w:rsidRPr="002A7FEF">
        <w:rPr>
          <w:rFonts w:ascii="Times New Roman" w:hAnsi="Times New Roman"/>
          <w:sz w:val="24"/>
          <w:szCs w:val="24"/>
        </w:rPr>
        <w:t>:</w:t>
      </w:r>
    </w:p>
    <w:p w:rsidR="001C0E26" w:rsidRPr="002A7FEF" w:rsidRDefault="001C0E26" w:rsidP="004352B7">
      <w:pPr>
        <w:shd w:val="clear" w:color="auto" w:fill="FFFFFF"/>
        <w:tabs>
          <w:tab w:val="left" w:pos="540"/>
        </w:tabs>
        <w:spacing w:before="120" w:after="120" w:line="240" w:lineRule="auto"/>
        <w:jc w:val="both"/>
        <w:rPr>
          <w:rFonts w:ascii="Times New Roman" w:hAnsi="Times New Roman"/>
          <w:sz w:val="24"/>
          <w:szCs w:val="24"/>
        </w:rPr>
      </w:pPr>
      <w:r w:rsidRPr="002A7FEF">
        <w:rPr>
          <w:rFonts w:ascii="Times New Roman" w:hAnsi="Times New Roman"/>
          <w:sz w:val="24"/>
          <w:szCs w:val="24"/>
        </w:rPr>
        <w:t xml:space="preserve">Như đã được đề cập trong Bản Cáo bạch, Quỹ đầu tư chủ yếu vào cổ phiếu với mục tiêu chính là tăng trưởng giá trị vốn trong giai đoạn trung và dài hạn; do đó Quỹ có hạn chế trong việc chia cổ tức. Việc phân phối lợi nhuận (nếu có) sẽ dựa trên cơ sở báo cáo tài chính kiểm toán của Quỹ trong khuôn khổ quy định của pháp luật, theo đề xuất của Công ty Quản lý Quỹ, được chấp thuận bởi Ban Đại diện Quỹ và được Đại hội Nhà đầu tư thông qua. </w:t>
      </w:r>
      <w:r w:rsidRPr="002A7FEF" w:rsidDel="00091CAB">
        <w:rPr>
          <w:rFonts w:ascii="Times New Roman" w:hAnsi="Times New Roman"/>
          <w:sz w:val="24"/>
          <w:szCs w:val="24"/>
        </w:rPr>
        <w:t xml:space="preserve"> </w:t>
      </w:r>
    </w:p>
    <w:p w:rsidR="001C0E26" w:rsidRPr="002A7FEF" w:rsidRDefault="001C0E26" w:rsidP="004352B7">
      <w:pPr>
        <w:shd w:val="clear" w:color="auto" w:fill="FFFFFF"/>
        <w:tabs>
          <w:tab w:val="left" w:pos="540"/>
        </w:tabs>
        <w:spacing w:before="120" w:after="120" w:line="240" w:lineRule="auto"/>
        <w:jc w:val="both"/>
        <w:rPr>
          <w:rFonts w:ascii="Times New Roman" w:hAnsi="Times New Roman"/>
          <w:sz w:val="24"/>
          <w:szCs w:val="24"/>
        </w:rPr>
      </w:pPr>
      <w:r w:rsidRPr="002A7FEF">
        <w:rPr>
          <w:rFonts w:ascii="Times New Roman" w:hAnsi="Times New Roman"/>
          <w:sz w:val="24"/>
          <w:szCs w:val="24"/>
        </w:rPr>
        <w:t>Quỹ DFVN-CAF sẽ chỉ xem xét việc phân phối lợi nhuận từ các nguồn và với các điều kiện sau đây:</w:t>
      </w:r>
    </w:p>
    <w:p w:rsidR="001C0E26" w:rsidRPr="002A7FEF" w:rsidRDefault="001C0E26" w:rsidP="004352B7">
      <w:pPr>
        <w:pStyle w:val="ListParagraph"/>
        <w:numPr>
          <w:ilvl w:val="0"/>
          <w:numId w:val="18"/>
        </w:numPr>
        <w:shd w:val="clear" w:color="auto" w:fill="FFFFFF"/>
        <w:tabs>
          <w:tab w:val="left" w:pos="540"/>
        </w:tabs>
        <w:spacing w:before="120" w:after="120" w:line="240" w:lineRule="auto"/>
        <w:contextualSpacing w:val="0"/>
        <w:jc w:val="both"/>
        <w:rPr>
          <w:rFonts w:ascii="Times New Roman" w:hAnsi="Times New Roman"/>
          <w:sz w:val="24"/>
          <w:szCs w:val="24"/>
        </w:rPr>
      </w:pPr>
      <w:r w:rsidRPr="002A7FEF">
        <w:rPr>
          <w:rFonts w:ascii="Times New Roman" w:hAnsi="Times New Roman"/>
          <w:sz w:val="24"/>
          <w:szCs w:val="24"/>
        </w:rPr>
        <w:t>Lợi nhuận lũy kế của Quỹ cho đến cuối Năm tài chính mà Công ty Quản lý Quỹ đề xuất phân phối lợi nhuận phải dương sau khi trừ đi các chi phí phát sinh trong quá trình hoạt động theo quy định.</w:t>
      </w:r>
    </w:p>
    <w:p w:rsidR="001C0E26" w:rsidRPr="002A7FEF" w:rsidRDefault="001C0E26" w:rsidP="004352B7">
      <w:pPr>
        <w:pStyle w:val="ListParagraph"/>
        <w:numPr>
          <w:ilvl w:val="0"/>
          <w:numId w:val="18"/>
        </w:numPr>
        <w:shd w:val="clear" w:color="auto" w:fill="FFFFFF"/>
        <w:tabs>
          <w:tab w:val="left" w:pos="540"/>
        </w:tabs>
        <w:spacing w:before="120" w:after="120" w:line="240" w:lineRule="auto"/>
        <w:contextualSpacing w:val="0"/>
        <w:jc w:val="both"/>
        <w:rPr>
          <w:rFonts w:ascii="Times New Roman" w:hAnsi="Times New Roman"/>
          <w:sz w:val="24"/>
          <w:szCs w:val="24"/>
        </w:rPr>
      </w:pPr>
      <w:r w:rsidRPr="002A7FEF">
        <w:rPr>
          <w:rFonts w:ascii="Times New Roman" w:hAnsi="Times New Roman"/>
          <w:sz w:val="24"/>
          <w:szCs w:val="24"/>
        </w:rPr>
        <w:t>Nguồn chia là từ lợi nhuận đã thực hiện của Quỹ trong quá trình hoạt động.</w:t>
      </w:r>
    </w:p>
    <w:p w:rsidR="001C0E26" w:rsidRPr="002A7FEF" w:rsidRDefault="001C0E26" w:rsidP="004352B7">
      <w:pPr>
        <w:pStyle w:val="ListParagraph"/>
        <w:numPr>
          <w:ilvl w:val="0"/>
          <w:numId w:val="18"/>
        </w:numPr>
        <w:shd w:val="clear" w:color="auto" w:fill="FFFFFF"/>
        <w:tabs>
          <w:tab w:val="left" w:pos="540"/>
        </w:tabs>
        <w:spacing w:before="120" w:after="120" w:line="240" w:lineRule="auto"/>
        <w:contextualSpacing w:val="0"/>
        <w:jc w:val="both"/>
        <w:rPr>
          <w:rFonts w:ascii="Times New Roman" w:hAnsi="Times New Roman"/>
          <w:sz w:val="24"/>
          <w:szCs w:val="24"/>
        </w:rPr>
      </w:pPr>
      <w:r w:rsidRPr="002A7FEF">
        <w:rPr>
          <w:rFonts w:ascii="Times New Roman" w:hAnsi="Times New Roman"/>
          <w:sz w:val="24"/>
          <w:szCs w:val="24"/>
        </w:rPr>
        <w:t>Sau khi trừ số lợi nhuận dự kiến sẽ phân phối cho Nhà đầu tư, số lợi nhuận lũy kế còn lại cho đến cuối Năm tài chính mà Công ty Quản lý Quỹ đề xuất phân phối lợi nhuận vẫn phải lớn hơn hoặc bằng không (không được âm).</w:t>
      </w:r>
    </w:p>
    <w:p w:rsidR="001C0E26" w:rsidRPr="002A7FEF" w:rsidRDefault="001C0E26" w:rsidP="004352B7">
      <w:pPr>
        <w:pStyle w:val="ListParagraph"/>
        <w:numPr>
          <w:ilvl w:val="0"/>
          <w:numId w:val="18"/>
        </w:numPr>
        <w:shd w:val="clear" w:color="auto" w:fill="FFFFFF"/>
        <w:tabs>
          <w:tab w:val="left" w:pos="540"/>
        </w:tabs>
        <w:spacing w:before="120" w:after="120" w:line="240" w:lineRule="auto"/>
        <w:contextualSpacing w:val="0"/>
        <w:jc w:val="both"/>
        <w:rPr>
          <w:rFonts w:ascii="Times New Roman" w:hAnsi="Times New Roman"/>
          <w:sz w:val="24"/>
          <w:szCs w:val="24"/>
        </w:rPr>
      </w:pPr>
      <w:r w:rsidRPr="002A7FEF">
        <w:rPr>
          <w:rFonts w:ascii="Times New Roman" w:hAnsi="Times New Roman"/>
          <w:sz w:val="24"/>
          <w:szCs w:val="24"/>
        </w:rPr>
        <w:t>Lợi nhuận phân chia được trích từ nguồn lợi nhuận để lại của Quỹ.</w:t>
      </w:r>
    </w:p>
    <w:p w:rsidR="001C0E26" w:rsidRPr="002A7FEF" w:rsidRDefault="001C0E26" w:rsidP="004352B7">
      <w:pPr>
        <w:pStyle w:val="ListParagraph"/>
        <w:numPr>
          <w:ilvl w:val="0"/>
          <w:numId w:val="18"/>
        </w:numPr>
        <w:shd w:val="clear" w:color="auto" w:fill="FFFFFF"/>
        <w:tabs>
          <w:tab w:val="left" w:pos="540"/>
        </w:tabs>
        <w:spacing w:before="120" w:after="120" w:line="240" w:lineRule="auto"/>
        <w:contextualSpacing w:val="0"/>
        <w:jc w:val="both"/>
        <w:rPr>
          <w:rFonts w:ascii="Times New Roman" w:hAnsi="Times New Roman"/>
          <w:sz w:val="24"/>
          <w:szCs w:val="24"/>
        </w:rPr>
      </w:pPr>
      <w:r w:rsidRPr="002A7FEF">
        <w:rPr>
          <w:rFonts w:ascii="Times New Roman" w:hAnsi="Times New Roman"/>
          <w:sz w:val="24"/>
          <w:szCs w:val="24"/>
        </w:rPr>
        <w:lastRenderedPageBreak/>
        <w:t>Công ty Quản lý Quỹ chỉ được phân chia lợi nhuận khi Quỹ đã hoàn thành hoặc có đủ năng</w:t>
      </w:r>
      <w:r w:rsidR="004D7F59">
        <w:rPr>
          <w:rFonts w:ascii="Times New Roman" w:hAnsi="Times New Roman"/>
          <w:sz w:val="24"/>
          <w:szCs w:val="24"/>
        </w:rPr>
        <w:t xml:space="preserve"> </w:t>
      </w:r>
      <w:r w:rsidRPr="002A7FEF">
        <w:rPr>
          <w:rFonts w:ascii="Times New Roman" w:hAnsi="Times New Roman"/>
          <w:sz w:val="24"/>
          <w:szCs w:val="24"/>
        </w:rPr>
        <w:t>lực tài chính để hoàn thành nghĩa vụ thuế và các nghĩa vụ tài chính khác theo quy định của pháp luật; trích lập đầy đủ các qũy theo quy định tại Điều lệ Quỹ; ngay sau khi trả hết số lợi nhuận đã định, Quỹ vẫn phải bảo đảm thanh toán đủ các khoản nợ, nghĩa vụ tài sản khác đến hạn</w:t>
      </w:r>
    </w:p>
    <w:p w:rsidR="00100534" w:rsidRPr="002A7FEF" w:rsidRDefault="00100534" w:rsidP="004352B7">
      <w:pPr>
        <w:pStyle w:val="ListParagraph"/>
        <w:numPr>
          <w:ilvl w:val="0"/>
          <w:numId w:val="2"/>
        </w:numPr>
        <w:tabs>
          <w:tab w:val="left" w:pos="270"/>
          <w:tab w:val="left" w:pos="1134"/>
        </w:tabs>
        <w:spacing w:before="120" w:after="120" w:line="300" w:lineRule="auto"/>
        <w:ind w:left="0" w:firstLine="0"/>
        <w:contextualSpacing w:val="0"/>
        <w:jc w:val="both"/>
        <w:rPr>
          <w:rFonts w:ascii="Times New Roman" w:hAnsi="Times New Roman"/>
          <w:sz w:val="24"/>
          <w:szCs w:val="24"/>
        </w:rPr>
      </w:pPr>
      <w:r w:rsidRPr="002A7FEF">
        <w:rPr>
          <w:rFonts w:ascii="Times New Roman" w:hAnsi="Times New Roman"/>
          <w:sz w:val="24"/>
          <w:szCs w:val="24"/>
        </w:rPr>
        <w:t>Số lượng đơn vị quỹ đang lưu hành</w:t>
      </w:r>
      <w:r w:rsidR="000A2248" w:rsidRPr="002A7FEF">
        <w:rPr>
          <w:rFonts w:ascii="Times New Roman" w:hAnsi="Times New Roman"/>
          <w:sz w:val="24"/>
          <w:szCs w:val="24"/>
        </w:rPr>
        <w:t xml:space="preserve"> tại ngày 30/06/2019: 7.686.473,96 đơn vị quỹ</w:t>
      </w:r>
    </w:p>
    <w:p w:rsidR="00100534" w:rsidRPr="004F236F" w:rsidRDefault="00100534" w:rsidP="004352B7">
      <w:pPr>
        <w:pStyle w:val="ListParagraph"/>
        <w:numPr>
          <w:ilvl w:val="0"/>
          <w:numId w:val="2"/>
        </w:numPr>
        <w:tabs>
          <w:tab w:val="left" w:pos="270"/>
          <w:tab w:val="left" w:pos="1134"/>
        </w:tabs>
        <w:spacing w:before="120" w:after="120" w:line="300" w:lineRule="auto"/>
        <w:ind w:left="0" w:firstLine="0"/>
        <w:contextualSpacing w:val="0"/>
        <w:jc w:val="both"/>
        <w:rPr>
          <w:rFonts w:ascii="Times New Roman" w:hAnsi="Times New Roman"/>
          <w:sz w:val="24"/>
          <w:szCs w:val="24"/>
        </w:rPr>
      </w:pPr>
      <w:r w:rsidRPr="004F236F">
        <w:rPr>
          <w:rFonts w:ascii="Times New Roman" w:hAnsi="Times New Roman"/>
          <w:sz w:val="24"/>
          <w:szCs w:val="24"/>
        </w:rPr>
        <w:t>Nội dung thay đổi tại Điều lệ Quỹ trong kỳ báo cáo</w:t>
      </w:r>
      <w:r w:rsidR="00355F1F" w:rsidRPr="004F236F">
        <w:rPr>
          <w:rFonts w:ascii="Times New Roman" w:hAnsi="Times New Roman"/>
          <w:sz w:val="24"/>
          <w:szCs w:val="24"/>
        </w:rPr>
        <w:t xml:space="preserve">: </w:t>
      </w:r>
      <w:r w:rsidR="00355F1F" w:rsidRPr="004F236F">
        <w:rPr>
          <w:rFonts w:ascii="Times New Roman" w:hAnsi="Times New Roman"/>
          <w:b/>
          <w:i/>
          <w:sz w:val="24"/>
          <w:szCs w:val="24"/>
        </w:rPr>
        <w:t>Không có</w:t>
      </w:r>
    </w:p>
    <w:p w:rsidR="00100534" w:rsidRPr="004F236F" w:rsidRDefault="00100534" w:rsidP="004352B7">
      <w:pPr>
        <w:pStyle w:val="ListParagraph"/>
        <w:numPr>
          <w:ilvl w:val="0"/>
          <w:numId w:val="2"/>
        </w:numPr>
        <w:tabs>
          <w:tab w:val="left" w:pos="270"/>
          <w:tab w:val="left" w:pos="1134"/>
        </w:tabs>
        <w:spacing w:before="120" w:after="120" w:line="300" w:lineRule="auto"/>
        <w:ind w:left="0" w:firstLine="0"/>
        <w:contextualSpacing w:val="0"/>
        <w:jc w:val="both"/>
        <w:rPr>
          <w:rFonts w:ascii="Times New Roman" w:hAnsi="Times New Roman"/>
          <w:sz w:val="24"/>
          <w:szCs w:val="24"/>
        </w:rPr>
      </w:pPr>
      <w:r w:rsidRPr="004F236F">
        <w:rPr>
          <w:rFonts w:ascii="Times New Roman" w:hAnsi="Times New Roman"/>
          <w:sz w:val="24"/>
          <w:szCs w:val="24"/>
        </w:rPr>
        <w:t>Nội dung Nghị quyết Đại hội nhà đầu tư trong kỳ báo cáo</w:t>
      </w:r>
      <w:r w:rsidR="00355F1F" w:rsidRPr="004F236F">
        <w:rPr>
          <w:rFonts w:ascii="Times New Roman" w:hAnsi="Times New Roman"/>
          <w:sz w:val="24"/>
          <w:szCs w:val="24"/>
        </w:rPr>
        <w:t>:</w:t>
      </w:r>
    </w:p>
    <w:p w:rsidR="00355F1F" w:rsidRPr="002A7FEF" w:rsidRDefault="00355F1F" w:rsidP="004352B7">
      <w:pPr>
        <w:pStyle w:val="ListParagraph"/>
        <w:tabs>
          <w:tab w:val="left" w:pos="270"/>
          <w:tab w:val="left" w:pos="1134"/>
        </w:tabs>
        <w:spacing w:before="120" w:after="120" w:line="300" w:lineRule="auto"/>
        <w:ind w:left="0"/>
        <w:contextualSpacing w:val="0"/>
        <w:jc w:val="both"/>
        <w:rPr>
          <w:rFonts w:ascii="Times New Roman" w:hAnsi="Times New Roman"/>
          <w:sz w:val="24"/>
          <w:szCs w:val="24"/>
        </w:rPr>
      </w:pPr>
      <w:r w:rsidRPr="002A7FEF">
        <w:rPr>
          <w:rFonts w:ascii="Times New Roman" w:hAnsi="Times New Roman"/>
          <w:sz w:val="24"/>
          <w:szCs w:val="24"/>
        </w:rPr>
        <w:t xml:space="preserve">Vào ngày 24/01/2019, Đại hội Nhà đầu tư đã thông qua </w:t>
      </w:r>
      <w:r w:rsidR="00743A96" w:rsidRPr="002A7FEF">
        <w:rPr>
          <w:rFonts w:ascii="Times New Roman" w:hAnsi="Times New Roman"/>
          <w:sz w:val="24"/>
          <w:szCs w:val="24"/>
        </w:rPr>
        <w:t xml:space="preserve">Nghị quyết Đại hội Nhà đầu tư Lần đầu </w:t>
      </w:r>
      <w:r w:rsidR="00F14AC7" w:rsidRPr="002A7FEF">
        <w:rPr>
          <w:rFonts w:ascii="Times New Roman" w:hAnsi="Times New Roman"/>
          <w:sz w:val="24"/>
          <w:szCs w:val="24"/>
        </w:rPr>
        <w:t>với các nội dung như sau:</w:t>
      </w:r>
    </w:p>
    <w:p w:rsidR="00F14AC7" w:rsidRPr="002A7FEF" w:rsidRDefault="00D827C2" w:rsidP="004352B7">
      <w:pPr>
        <w:pStyle w:val="ListParagraph"/>
        <w:numPr>
          <w:ilvl w:val="0"/>
          <w:numId w:val="11"/>
        </w:numPr>
        <w:tabs>
          <w:tab w:val="left" w:pos="270"/>
          <w:tab w:val="left" w:pos="1134"/>
        </w:tabs>
        <w:spacing w:before="120" w:after="120" w:line="300" w:lineRule="auto"/>
        <w:contextualSpacing w:val="0"/>
        <w:jc w:val="both"/>
        <w:rPr>
          <w:rFonts w:ascii="Times New Roman" w:hAnsi="Times New Roman"/>
          <w:sz w:val="24"/>
          <w:szCs w:val="24"/>
        </w:rPr>
      </w:pPr>
      <w:r w:rsidRPr="002A7FEF">
        <w:rPr>
          <w:rFonts w:ascii="Times New Roman" w:hAnsi="Times New Roman"/>
          <w:sz w:val="24"/>
          <w:szCs w:val="24"/>
        </w:rPr>
        <w:t>Thông qua Điều lệ tổ chức và hoạt động của Quỹ DFVN-CAF;</w:t>
      </w:r>
    </w:p>
    <w:p w:rsidR="00D827C2" w:rsidRPr="002A7FEF" w:rsidRDefault="00D827C2" w:rsidP="004352B7">
      <w:pPr>
        <w:pStyle w:val="ListParagraph"/>
        <w:numPr>
          <w:ilvl w:val="0"/>
          <w:numId w:val="11"/>
        </w:numPr>
        <w:tabs>
          <w:tab w:val="left" w:pos="270"/>
          <w:tab w:val="left" w:pos="1134"/>
        </w:tabs>
        <w:spacing w:before="120" w:after="120" w:line="300" w:lineRule="auto"/>
        <w:contextualSpacing w:val="0"/>
        <w:jc w:val="both"/>
        <w:rPr>
          <w:rFonts w:ascii="Times New Roman" w:hAnsi="Times New Roman"/>
          <w:sz w:val="24"/>
          <w:szCs w:val="24"/>
        </w:rPr>
      </w:pPr>
      <w:r w:rsidRPr="002A7FEF">
        <w:rPr>
          <w:rFonts w:ascii="Times New Roman" w:hAnsi="Times New Roman"/>
          <w:sz w:val="24"/>
          <w:szCs w:val="24"/>
        </w:rPr>
        <w:t xml:space="preserve">Thông qua việc chỉ định Công ty quản lý </w:t>
      </w:r>
      <w:r w:rsidR="00BC38CC">
        <w:rPr>
          <w:rFonts w:ascii="Times New Roman" w:hAnsi="Times New Roman"/>
          <w:sz w:val="24"/>
          <w:szCs w:val="24"/>
        </w:rPr>
        <w:t>Q</w:t>
      </w:r>
      <w:r w:rsidRPr="002A7FEF">
        <w:rPr>
          <w:rFonts w:ascii="Times New Roman" w:hAnsi="Times New Roman"/>
          <w:sz w:val="24"/>
          <w:szCs w:val="24"/>
        </w:rPr>
        <w:t>uỹ là Công ty TNHH MTV Quản lý Quỹ Dai-ichi Life Việt Nam;</w:t>
      </w:r>
    </w:p>
    <w:p w:rsidR="00D827C2" w:rsidRPr="002A7FEF" w:rsidRDefault="00D827C2" w:rsidP="004352B7">
      <w:pPr>
        <w:pStyle w:val="ListParagraph"/>
        <w:numPr>
          <w:ilvl w:val="0"/>
          <w:numId w:val="11"/>
        </w:numPr>
        <w:tabs>
          <w:tab w:val="left" w:pos="270"/>
          <w:tab w:val="left" w:pos="1134"/>
        </w:tabs>
        <w:spacing w:before="120" w:after="120" w:line="300" w:lineRule="auto"/>
        <w:contextualSpacing w:val="0"/>
        <w:jc w:val="both"/>
        <w:rPr>
          <w:rFonts w:ascii="Times New Roman" w:hAnsi="Times New Roman"/>
          <w:sz w:val="24"/>
          <w:szCs w:val="24"/>
        </w:rPr>
      </w:pPr>
      <w:r w:rsidRPr="002A7FEF">
        <w:rPr>
          <w:rFonts w:ascii="Times New Roman" w:hAnsi="Times New Roman"/>
          <w:sz w:val="24"/>
          <w:szCs w:val="24"/>
        </w:rPr>
        <w:t>Thông qua việc chỉ định Ngân hàng Lưu ký, Giám sát của Quỹ DFVN-CAF là Ngân hàng TNHH MTV HSBC (Việt Nam) và thông qua Hợp đồng Giám sát;</w:t>
      </w:r>
    </w:p>
    <w:p w:rsidR="00D827C2" w:rsidRPr="002A7FEF" w:rsidRDefault="00D827C2" w:rsidP="004352B7">
      <w:pPr>
        <w:pStyle w:val="ListParagraph"/>
        <w:numPr>
          <w:ilvl w:val="0"/>
          <w:numId w:val="11"/>
        </w:numPr>
        <w:tabs>
          <w:tab w:val="left" w:pos="270"/>
          <w:tab w:val="left" w:pos="1134"/>
        </w:tabs>
        <w:spacing w:before="120" w:after="120" w:line="300" w:lineRule="auto"/>
        <w:contextualSpacing w:val="0"/>
        <w:jc w:val="both"/>
        <w:rPr>
          <w:rFonts w:ascii="Times New Roman" w:hAnsi="Times New Roman"/>
          <w:sz w:val="24"/>
          <w:szCs w:val="24"/>
        </w:rPr>
      </w:pPr>
      <w:r w:rsidRPr="002A7FEF">
        <w:rPr>
          <w:rFonts w:ascii="Times New Roman" w:hAnsi="Times New Roman"/>
          <w:sz w:val="24"/>
          <w:szCs w:val="24"/>
        </w:rPr>
        <w:t>Thông qua danh sách thành viên Ban Đại diện Quỹ nhiệm kỳ 2019-2021, bao gồm (1) Ông Đỗ Hùng Việt; (2) Ông Huỳnh Văn Dũng và (3) Ông Nguyễn Gia Huy Chương;</w:t>
      </w:r>
    </w:p>
    <w:p w:rsidR="00D827C2" w:rsidRPr="002A7FEF" w:rsidRDefault="00D827C2" w:rsidP="004352B7">
      <w:pPr>
        <w:pStyle w:val="ListParagraph"/>
        <w:numPr>
          <w:ilvl w:val="0"/>
          <w:numId w:val="11"/>
        </w:numPr>
        <w:tabs>
          <w:tab w:val="left" w:pos="270"/>
          <w:tab w:val="left" w:pos="1134"/>
        </w:tabs>
        <w:spacing w:before="120" w:after="120" w:line="300" w:lineRule="auto"/>
        <w:contextualSpacing w:val="0"/>
        <w:jc w:val="both"/>
        <w:rPr>
          <w:rFonts w:ascii="Times New Roman" w:hAnsi="Times New Roman"/>
          <w:sz w:val="24"/>
          <w:szCs w:val="24"/>
        </w:rPr>
      </w:pPr>
      <w:r w:rsidRPr="002A7FEF">
        <w:rPr>
          <w:rFonts w:ascii="Times New Roman" w:hAnsi="Times New Roman"/>
          <w:sz w:val="24"/>
          <w:szCs w:val="24"/>
        </w:rPr>
        <w:t>Bổ nhiệm ông Đỗ Hùng Việt giữ chức Chủ tịch Ban Đại diện Quỹ nhiệm kỳ 2019-2021;</w:t>
      </w:r>
    </w:p>
    <w:p w:rsidR="00D827C2" w:rsidRPr="002A7FEF" w:rsidRDefault="00D827C2" w:rsidP="004352B7">
      <w:pPr>
        <w:pStyle w:val="ListParagraph"/>
        <w:numPr>
          <w:ilvl w:val="0"/>
          <w:numId w:val="11"/>
        </w:numPr>
        <w:tabs>
          <w:tab w:val="left" w:pos="270"/>
          <w:tab w:val="left" w:pos="1134"/>
        </w:tabs>
        <w:spacing w:before="120" w:after="120" w:line="300" w:lineRule="auto"/>
        <w:contextualSpacing w:val="0"/>
        <w:jc w:val="both"/>
        <w:rPr>
          <w:rFonts w:ascii="Times New Roman" w:hAnsi="Times New Roman"/>
          <w:sz w:val="24"/>
          <w:szCs w:val="24"/>
        </w:rPr>
      </w:pPr>
      <w:r w:rsidRPr="002A7FEF">
        <w:rPr>
          <w:rFonts w:ascii="Times New Roman" w:hAnsi="Times New Roman"/>
          <w:sz w:val="24"/>
          <w:szCs w:val="24"/>
        </w:rPr>
        <w:t>Thông qua mức thù lao Ban Đại diện Quỹ 5.000.000 VNĐ/tháng/người;</w:t>
      </w:r>
    </w:p>
    <w:p w:rsidR="002A7FEF" w:rsidRPr="002A7FEF" w:rsidRDefault="00D827C2" w:rsidP="004352B7">
      <w:pPr>
        <w:pStyle w:val="ListParagraph"/>
        <w:numPr>
          <w:ilvl w:val="0"/>
          <w:numId w:val="11"/>
        </w:numPr>
        <w:tabs>
          <w:tab w:val="left" w:pos="270"/>
          <w:tab w:val="left" w:pos="1134"/>
        </w:tabs>
        <w:spacing w:before="120" w:after="120" w:line="300" w:lineRule="auto"/>
        <w:contextualSpacing w:val="0"/>
        <w:jc w:val="both"/>
        <w:rPr>
          <w:rFonts w:ascii="Times New Roman" w:hAnsi="Times New Roman"/>
          <w:sz w:val="24"/>
          <w:szCs w:val="24"/>
        </w:rPr>
      </w:pPr>
      <w:r w:rsidRPr="002A7FEF">
        <w:rPr>
          <w:rFonts w:ascii="Times New Roman" w:hAnsi="Times New Roman"/>
          <w:sz w:val="24"/>
          <w:szCs w:val="24"/>
        </w:rPr>
        <w:t>Thông qua danh sách 03 (ba) Công ty Kiểm toán KPMG, E&amp;Y và PWC thực hiện kiểm toán hàng năm; và ủy quyền cho Ban Đại diện Quỹ lựa chọn 01 (một) trong 03 (ba) Công ty Kiểm toán KPMG, E&amp;Y và PWC thực hiện kiểm toán cho năm tài chính đầu tiên của Quỹ DFVN-CAF;</w:t>
      </w:r>
    </w:p>
    <w:p w:rsidR="00780773" w:rsidRPr="002A7FEF" w:rsidRDefault="00D827C2" w:rsidP="004352B7">
      <w:pPr>
        <w:pStyle w:val="ListParagraph"/>
        <w:numPr>
          <w:ilvl w:val="0"/>
          <w:numId w:val="11"/>
        </w:numPr>
        <w:tabs>
          <w:tab w:val="left" w:pos="270"/>
          <w:tab w:val="left" w:pos="1134"/>
        </w:tabs>
        <w:spacing w:before="120" w:after="120" w:line="300" w:lineRule="auto"/>
        <w:contextualSpacing w:val="0"/>
        <w:jc w:val="both"/>
        <w:rPr>
          <w:rFonts w:ascii="Times New Roman" w:hAnsi="Times New Roman"/>
          <w:sz w:val="24"/>
          <w:szCs w:val="24"/>
        </w:rPr>
      </w:pPr>
      <w:r w:rsidRPr="002A7FEF">
        <w:rPr>
          <w:rFonts w:ascii="Times New Roman" w:hAnsi="Times New Roman"/>
          <w:sz w:val="24"/>
          <w:szCs w:val="24"/>
        </w:rPr>
        <w:t>Thông qua việc ủy quyền cho Công ty DFVN ký kết các hợp đồng cung cấp dịch vụ Lưu ký, Giám sát, Quản trị quỹ, Đại lý Chuyển nhượng và các hợp đồng cung cấp dịch vụ khác có liên quan cho Quỹ DFVN-CAF.</w:t>
      </w:r>
      <w:r w:rsidR="00780773" w:rsidRPr="002A7FEF">
        <w:rPr>
          <w:rFonts w:ascii="Times New Roman" w:hAnsi="Times New Roman"/>
          <w:sz w:val="24"/>
          <w:szCs w:val="24"/>
        </w:rPr>
        <w:t xml:space="preserve"> </w:t>
      </w:r>
    </w:p>
    <w:p w:rsidR="00780773" w:rsidRPr="004F236F" w:rsidRDefault="00100534" w:rsidP="004F236F">
      <w:pPr>
        <w:pStyle w:val="ListParagraph"/>
        <w:numPr>
          <w:ilvl w:val="0"/>
          <w:numId w:val="2"/>
        </w:numPr>
        <w:tabs>
          <w:tab w:val="left" w:pos="270"/>
          <w:tab w:val="left" w:pos="1134"/>
        </w:tabs>
        <w:spacing w:before="120" w:after="120" w:line="300" w:lineRule="auto"/>
        <w:jc w:val="both"/>
        <w:rPr>
          <w:rFonts w:ascii="Times New Roman" w:hAnsi="Times New Roman"/>
          <w:sz w:val="24"/>
          <w:szCs w:val="24"/>
          <w:lang w:val="pt-BR"/>
        </w:rPr>
      </w:pPr>
      <w:r w:rsidRPr="004F236F">
        <w:rPr>
          <w:rFonts w:ascii="Times New Roman" w:hAnsi="Times New Roman"/>
          <w:sz w:val="24"/>
          <w:szCs w:val="24"/>
        </w:rPr>
        <w:t xml:space="preserve">Ý kiến nhận xét của Ngân hàng giám sát về các nội dung quy định tại Điều 45 Thông tư hướng dẫn thành lập và quản lý </w:t>
      </w:r>
      <w:r w:rsidR="004352B7" w:rsidRPr="004F236F">
        <w:rPr>
          <w:rFonts w:ascii="Times New Roman" w:hAnsi="Times New Roman"/>
          <w:sz w:val="24"/>
          <w:szCs w:val="24"/>
        </w:rPr>
        <w:t>Q</w:t>
      </w:r>
      <w:r w:rsidRPr="004F236F">
        <w:rPr>
          <w:rFonts w:ascii="Times New Roman" w:hAnsi="Times New Roman"/>
          <w:sz w:val="24"/>
          <w:szCs w:val="24"/>
        </w:rPr>
        <w:t>uỹ mở</w:t>
      </w:r>
      <w:r w:rsidR="00780773" w:rsidRPr="004F236F">
        <w:rPr>
          <w:rFonts w:ascii="Times New Roman" w:hAnsi="Times New Roman"/>
          <w:sz w:val="24"/>
          <w:szCs w:val="24"/>
        </w:rPr>
        <w:t xml:space="preserve">: </w:t>
      </w:r>
      <w:r w:rsidR="00780773" w:rsidRPr="004F236F">
        <w:rPr>
          <w:rFonts w:ascii="Times New Roman" w:hAnsi="Times New Roman"/>
          <w:sz w:val="24"/>
          <w:szCs w:val="24"/>
          <w:lang w:val="nl-NL"/>
        </w:rPr>
        <w:t>Công ty Quản lý Quỹ (“CTQLQ”)</w:t>
      </w:r>
      <w:r w:rsidR="00780773" w:rsidRPr="004F236F">
        <w:rPr>
          <w:rFonts w:ascii="Times New Roman" w:hAnsi="Times New Roman"/>
          <w:sz w:val="24"/>
          <w:szCs w:val="24"/>
          <w:lang w:val="pt-BR"/>
        </w:rPr>
        <w:t xml:space="preserve"> đã thực hiện nghiêm chỉnh việc lập các báo cáo tuần, tháng, quý, bán niên theo quy định cho Ủy Ban Chứng Khoán Nhà Nước.</w:t>
      </w:r>
    </w:p>
    <w:p w:rsidR="004F236F" w:rsidRDefault="004F236F" w:rsidP="004F236F">
      <w:pPr>
        <w:tabs>
          <w:tab w:val="left" w:pos="270"/>
          <w:tab w:val="left" w:pos="1134"/>
        </w:tabs>
        <w:spacing w:before="120" w:after="120" w:line="300" w:lineRule="auto"/>
        <w:jc w:val="both"/>
        <w:rPr>
          <w:rFonts w:ascii="Times New Roman" w:hAnsi="Times New Roman"/>
          <w:sz w:val="24"/>
          <w:szCs w:val="24"/>
          <w:lang w:val="pt-BR"/>
        </w:rPr>
      </w:pPr>
    </w:p>
    <w:p w:rsidR="004F236F" w:rsidRPr="004F236F" w:rsidRDefault="004F236F" w:rsidP="004F236F">
      <w:pPr>
        <w:tabs>
          <w:tab w:val="left" w:pos="270"/>
          <w:tab w:val="left" w:pos="1134"/>
        </w:tabs>
        <w:spacing w:before="120" w:after="120" w:line="300" w:lineRule="auto"/>
        <w:jc w:val="both"/>
        <w:rPr>
          <w:rFonts w:ascii="Times New Roman" w:hAnsi="Times New Roman"/>
          <w:sz w:val="24"/>
          <w:szCs w:val="24"/>
          <w:lang w:val="pt-BR"/>
        </w:rPr>
      </w:pPr>
    </w:p>
    <w:p w:rsidR="00100534" w:rsidRPr="002A7FEF" w:rsidRDefault="00100534" w:rsidP="004352B7">
      <w:pPr>
        <w:pStyle w:val="ListParagraph"/>
        <w:numPr>
          <w:ilvl w:val="0"/>
          <w:numId w:val="1"/>
        </w:numPr>
        <w:tabs>
          <w:tab w:val="left" w:pos="270"/>
          <w:tab w:val="left" w:pos="1134"/>
        </w:tabs>
        <w:spacing w:before="120" w:after="120" w:line="300" w:lineRule="auto"/>
        <w:ind w:left="0" w:firstLine="0"/>
        <w:contextualSpacing w:val="0"/>
        <w:jc w:val="both"/>
        <w:rPr>
          <w:rFonts w:ascii="Times New Roman" w:hAnsi="Times New Roman"/>
          <w:b/>
          <w:sz w:val="24"/>
          <w:szCs w:val="24"/>
        </w:rPr>
      </w:pPr>
      <w:r w:rsidRPr="002A7FEF">
        <w:rPr>
          <w:rFonts w:ascii="Times New Roman" w:hAnsi="Times New Roman"/>
          <w:b/>
          <w:sz w:val="24"/>
          <w:szCs w:val="24"/>
        </w:rPr>
        <w:lastRenderedPageBreak/>
        <w:t xml:space="preserve">Báo cáo về kết quả hoạt động của </w:t>
      </w:r>
      <w:r w:rsidR="004352B7">
        <w:rPr>
          <w:rFonts w:ascii="Times New Roman" w:hAnsi="Times New Roman"/>
          <w:b/>
          <w:sz w:val="24"/>
          <w:szCs w:val="24"/>
        </w:rPr>
        <w:t>Q</w:t>
      </w:r>
      <w:r w:rsidRPr="002A7FEF">
        <w:rPr>
          <w:rFonts w:ascii="Times New Roman" w:hAnsi="Times New Roman"/>
          <w:b/>
          <w:sz w:val="24"/>
          <w:szCs w:val="24"/>
        </w:rPr>
        <w:t>uỹ</w:t>
      </w:r>
    </w:p>
    <w:p w:rsidR="00100534" w:rsidRPr="002A7FEF" w:rsidRDefault="00100534" w:rsidP="004352B7">
      <w:pPr>
        <w:pStyle w:val="ListParagraph"/>
        <w:numPr>
          <w:ilvl w:val="0"/>
          <w:numId w:val="3"/>
        </w:numPr>
        <w:tabs>
          <w:tab w:val="left" w:pos="270"/>
          <w:tab w:val="left" w:pos="1134"/>
        </w:tabs>
        <w:spacing w:before="120" w:after="120" w:line="300" w:lineRule="auto"/>
        <w:ind w:left="0" w:firstLine="0"/>
        <w:contextualSpacing w:val="0"/>
        <w:jc w:val="both"/>
        <w:rPr>
          <w:rFonts w:ascii="Times New Roman" w:hAnsi="Times New Roman"/>
          <w:i/>
          <w:sz w:val="24"/>
          <w:szCs w:val="24"/>
        </w:rPr>
      </w:pPr>
      <w:r w:rsidRPr="002A7FEF">
        <w:rPr>
          <w:rFonts w:ascii="Times New Roman" w:hAnsi="Times New Roman"/>
          <w:sz w:val="24"/>
          <w:szCs w:val="24"/>
        </w:rPr>
        <w:t>Thông tin về danh mục đầu tư và giá trị tài sản ròng của quỹ tại thời điểm 3</w:t>
      </w:r>
      <w:r w:rsidR="007F7157" w:rsidRPr="002A7FEF">
        <w:rPr>
          <w:rFonts w:ascii="Times New Roman" w:hAnsi="Times New Roman"/>
          <w:sz w:val="24"/>
          <w:szCs w:val="24"/>
        </w:rPr>
        <w:t>0</w:t>
      </w:r>
      <w:r w:rsidRPr="002A7FEF">
        <w:rPr>
          <w:rFonts w:ascii="Times New Roman" w:hAnsi="Times New Roman"/>
          <w:sz w:val="24"/>
          <w:szCs w:val="24"/>
        </w:rPr>
        <w:t>/</w:t>
      </w:r>
      <w:r w:rsidR="007F7157" w:rsidRPr="002A7FEF">
        <w:rPr>
          <w:rFonts w:ascii="Times New Roman" w:hAnsi="Times New Roman"/>
          <w:sz w:val="24"/>
          <w:szCs w:val="24"/>
        </w:rPr>
        <w:t>06</w:t>
      </w:r>
      <w:r w:rsidRPr="002A7FEF">
        <w:rPr>
          <w:rFonts w:ascii="Times New Roman" w:hAnsi="Times New Roman"/>
          <w:sz w:val="24"/>
          <w:szCs w:val="24"/>
        </w:rPr>
        <w:t xml:space="preserve"> của 3 năm gần nhất (nếu có), cụ thể:</w:t>
      </w:r>
      <w:r w:rsidR="000A2248" w:rsidRPr="002A7FEF">
        <w:rPr>
          <w:rFonts w:ascii="Times New Roman" w:hAnsi="Times New Roman"/>
          <w:sz w:val="24"/>
          <w:szCs w:val="24"/>
        </w:rPr>
        <w:t xml:space="preserve"> </w:t>
      </w:r>
      <w:r w:rsidR="000A2248" w:rsidRPr="002A7FEF">
        <w:rPr>
          <w:rFonts w:ascii="Times New Roman" w:hAnsi="Times New Roman"/>
          <w:i/>
          <w:sz w:val="24"/>
          <w:szCs w:val="24"/>
        </w:rPr>
        <w:t>Quỹ mới đi vào hoạt động từ ngày 03/01/2019 nên không đủ số liệu để báo cáo</w:t>
      </w:r>
    </w:p>
    <w:p w:rsidR="00100534" w:rsidRPr="002A7FEF" w:rsidRDefault="00100534" w:rsidP="004352B7">
      <w:pPr>
        <w:pStyle w:val="ListParagraph"/>
        <w:numPr>
          <w:ilvl w:val="0"/>
          <w:numId w:val="3"/>
        </w:numPr>
        <w:tabs>
          <w:tab w:val="left" w:pos="270"/>
          <w:tab w:val="left" w:pos="1134"/>
        </w:tabs>
        <w:spacing w:before="120" w:after="120" w:line="300" w:lineRule="auto"/>
        <w:ind w:left="0" w:firstLine="0"/>
        <w:contextualSpacing w:val="0"/>
        <w:jc w:val="both"/>
        <w:rPr>
          <w:rFonts w:ascii="Times New Roman" w:hAnsi="Times New Roman"/>
          <w:sz w:val="24"/>
          <w:szCs w:val="24"/>
        </w:rPr>
      </w:pPr>
      <w:r w:rsidRPr="002A7FEF">
        <w:rPr>
          <w:rFonts w:ascii="Times New Roman" w:hAnsi="Times New Roman"/>
          <w:sz w:val="24"/>
          <w:szCs w:val="24"/>
        </w:rPr>
        <w:t xml:space="preserve">Chỉ tiêu về lợi nhuận của </w:t>
      </w:r>
      <w:r w:rsidR="004352B7">
        <w:rPr>
          <w:rFonts w:ascii="Times New Roman" w:hAnsi="Times New Roman"/>
          <w:sz w:val="24"/>
          <w:szCs w:val="24"/>
        </w:rPr>
        <w:t>Q</w:t>
      </w:r>
      <w:r w:rsidRPr="002A7FEF">
        <w:rPr>
          <w:rFonts w:ascii="Times New Roman" w:hAnsi="Times New Roman"/>
          <w:sz w:val="24"/>
          <w:szCs w:val="24"/>
        </w:rPr>
        <w:t xml:space="preserve">uỹ: </w:t>
      </w:r>
    </w:p>
    <w:p w:rsidR="000A2248" w:rsidRPr="002A7FEF" w:rsidRDefault="00100534" w:rsidP="004352B7">
      <w:pPr>
        <w:tabs>
          <w:tab w:val="left" w:pos="270"/>
          <w:tab w:val="left" w:pos="1134"/>
        </w:tabs>
        <w:spacing w:before="120" w:after="120" w:line="300" w:lineRule="auto"/>
        <w:jc w:val="both"/>
        <w:rPr>
          <w:rFonts w:ascii="Times New Roman" w:hAnsi="Times New Roman"/>
          <w:sz w:val="24"/>
          <w:szCs w:val="24"/>
        </w:rPr>
      </w:pPr>
      <w:r w:rsidRPr="002A7FEF">
        <w:rPr>
          <w:rFonts w:ascii="Times New Roman" w:hAnsi="Times New Roman"/>
          <w:sz w:val="24"/>
          <w:szCs w:val="24"/>
        </w:rPr>
        <w:tab/>
        <w:t xml:space="preserve">Tổng lợi nhuận bình quân năm của </w:t>
      </w:r>
      <w:r w:rsidR="004352B7">
        <w:rPr>
          <w:rFonts w:ascii="Times New Roman" w:hAnsi="Times New Roman"/>
          <w:sz w:val="24"/>
          <w:szCs w:val="24"/>
        </w:rPr>
        <w:t>Q</w:t>
      </w:r>
      <w:r w:rsidRPr="002A7FEF">
        <w:rPr>
          <w:rFonts w:ascii="Times New Roman" w:hAnsi="Times New Roman"/>
          <w:sz w:val="24"/>
          <w:szCs w:val="24"/>
        </w:rPr>
        <w:t xml:space="preserve">uỹ phát sinh trong kỳ báo cáo xác định: (i) trong thời hạn 12 tháng (1 năm), tính tới ngày lập báo cáo (hoặc tính từ thời điểm lập </w:t>
      </w:r>
      <w:r w:rsidR="004352B7">
        <w:rPr>
          <w:rFonts w:ascii="Times New Roman" w:hAnsi="Times New Roman"/>
          <w:sz w:val="24"/>
          <w:szCs w:val="24"/>
        </w:rPr>
        <w:t>Q</w:t>
      </w:r>
      <w:r w:rsidRPr="002A7FEF">
        <w:rPr>
          <w:rFonts w:ascii="Times New Roman" w:hAnsi="Times New Roman"/>
          <w:sz w:val="24"/>
          <w:szCs w:val="24"/>
        </w:rPr>
        <w:t xml:space="preserve">uỹ tới ngày báo cáo nếu </w:t>
      </w:r>
      <w:r w:rsidR="004352B7">
        <w:rPr>
          <w:rFonts w:ascii="Times New Roman" w:hAnsi="Times New Roman"/>
          <w:sz w:val="24"/>
          <w:szCs w:val="24"/>
        </w:rPr>
        <w:t>Q</w:t>
      </w:r>
      <w:r w:rsidRPr="002A7FEF">
        <w:rPr>
          <w:rFonts w:ascii="Times New Roman" w:hAnsi="Times New Roman"/>
          <w:sz w:val="24"/>
          <w:szCs w:val="24"/>
        </w:rPr>
        <w:t xml:space="preserve">uỹ hoạt động dưới 1 năm); (ii) trong thời hạn 36 tháng (3 năm), tính tới ngày lập báo cáo (hoặc tính từ thời điểm lập </w:t>
      </w:r>
      <w:r w:rsidR="004352B7">
        <w:rPr>
          <w:rFonts w:ascii="Times New Roman" w:hAnsi="Times New Roman"/>
          <w:sz w:val="24"/>
          <w:szCs w:val="24"/>
        </w:rPr>
        <w:t>Q</w:t>
      </w:r>
      <w:r w:rsidRPr="002A7FEF">
        <w:rPr>
          <w:rFonts w:ascii="Times New Roman" w:hAnsi="Times New Roman"/>
          <w:sz w:val="24"/>
          <w:szCs w:val="24"/>
        </w:rPr>
        <w:t xml:space="preserve">uỹ tới ngày báo cáo nếu </w:t>
      </w:r>
      <w:r w:rsidR="004352B7">
        <w:rPr>
          <w:rFonts w:ascii="Times New Roman" w:hAnsi="Times New Roman"/>
          <w:sz w:val="24"/>
          <w:szCs w:val="24"/>
        </w:rPr>
        <w:t>Q</w:t>
      </w:r>
      <w:r w:rsidRPr="002A7FEF">
        <w:rPr>
          <w:rFonts w:ascii="Times New Roman" w:hAnsi="Times New Roman"/>
          <w:sz w:val="24"/>
          <w:szCs w:val="24"/>
        </w:rPr>
        <w:t xml:space="preserve">uỹ hoạt động dưới 3 năm); (iii) trong thời hạn 60 tháng (5 năm), tính tới ngày lập báo cáo (hoặc tính từ thời điểm lập </w:t>
      </w:r>
      <w:r w:rsidR="004352B7">
        <w:rPr>
          <w:rFonts w:ascii="Times New Roman" w:hAnsi="Times New Roman"/>
          <w:sz w:val="24"/>
          <w:szCs w:val="24"/>
        </w:rPr>
        <w:t>Q</w:t>
      </w:r>
      <w:r w:rsidRPr="002A7FEF">
        <w:rPr>
          <w:rFonts w:ascii="Times New Roman" w:hAnsi="Times New Roman"/>
          <w:sz w:val="24"/>
          <w:szCs w:val="24"/>
        </w:rPr>
        <w:t xml:space="preserve">uỹ tới ngày báo cáo nếu </w:t>
      </w:r>
      <w:r w:rsidR="004352B7">
        <w:rPr>
          <w:rFonts w:ascii="Times New Roman" w:hAnsi="Times New Roman"/>
          <w:sz w:val="24"/>
          <w:szCs w:val="24"/>
        </w:rPr>
        <w:t>Q</w:t>
      </w:r>
      <w:r w:rsidRPr="002A7FEF">
        <w:rPr>
          <w:rFonts w:ascii="Times New Roman" w:hAnsi="Times New Roman"/>
          <w:sz w:val="24"/>
          <w:szCs w:val="24"/>
        </w:rPr>
        <w:t>uỹ hoạt động dưới 5 năm)</w:t>
      </w:r>
      <w:r w:rsidR="000A2248" w:rsidRPr="002A7FEF">
        <w:rPr>
          <w:rFonts w:ascii="Times New Roman" w:hAnsi="Times New Roman"/>
          <w:sz w:val="24"/>
          <w:szCs w:val="24"/>
        </w:rPr>
        <w:t>:</w:t>
      </w:r>
    </w:p>
    <w:tbl>
      <w:tblPr>
        <w:tblW w:w="4966" w:type="pct"/>
        <w:tblCellSpacing w:w="11"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44"/>
        <w:gridCol w:w="1980"/>
        <w:gridCol w:w="1954"/>
        <w:gridCol w:w="1608"/>
      </w:tblGrid>
      <w:tr w:rsidR="00E83C48" w:rsidRPr="002A7FEF" w:rsidTr="004D7F59">
        <w:trPr>
          <w:trHeight w:val="723"/>
          <w:tblCellSpacing w:w="11" w:type="dxa"/>
        </w:trPr>
        <w:tc>
          <w:tcPr>
            <w:tcW w:w="1998" w:type="pct"/>
            <w:vAlign w:val="center"/>
            <w:hideMark/>
          </w:tcPr>
          <w:p w:rsidR="000A2248" w:rsidRPr="002A7FEF" w:rsidRDefault="000A2248" w:rsidP="004352B7">
            <w:pPr>
              <w:tabs>
                <w:tab w:val="left" w:pos="270"/>
                <w:tab w:val="left" w:pos="1134"/>
              </w:tabs>
              <w:spacing w:before="120" w:after="120" w:line="300" w:lineRule="auto"/>
              <w:contextualSpacing/>
              <w:jc w:val="center"/>
              <w:rPr>
                <w:rFonts w:ascii="Times New Roman" w:hAnsi="Times New Roman"/>
                <w:b/>
                <w:sz w:val="24"/>
                <w:szCs w:val="24"/>
              </w:rPr>
            </w:pPr>
            <w:r w:rsidRPr="002A7FEF">
              <w:rPr>
                <w:rFonts w:ascii="Times New Roman" w:hAnsi="Times New Roman"/>
                <w:b/>
                <w:sz w:val="24"/>
                <w:szCs w:val="24"/>
              </w:rPr>
              <w:t>Tổng lợi nhuận bình quân</w:t>
            </w:r>
          </w:p>
        </w:tc>
        <w:tc>
          <w:tcPr>
            <w:tcW w:w="1054" w:type="pct"/>
            <w:vAlign w:val="center"/>
            <w:hideMark/>
          </w:tcPr>
          <w:p w:rsidR="000A2248" w:rsidRPr="002A7FEF" w:rsidRDefault="000A2248" w:rsidP="004352B7">
            <w:pPr>
              <w:tabs>
                <w:tab w:val="left" w:pos="270"/>
                <w:tab w:val="left" w:pos="1134"/>
              </w:tabs>
              <w:spacing w:before="120" w:after="120" w:line="300" w:lineRule="auto"/>
              <w:contextualSpacing/>
              <w:jc w:val="center"/>
              <w:rPr>
                <w:rFonts w:ascii="Times New Roman" w:hAnsi="Times New Roman"/>
                <w:b/>
                <w:sz w:val="24"/>
                <w:szCs w:val="24"/>
              </w:rPr>
            </w:pPr>
            <w:r w:rsidRPr="002A7FEF">
              <w:rPr>
                <w:rFonts w:ascii="Times New Roman" w:hAnsi="Times New Roman"/>
                <w:b/>
                <w:sz w:val="24"/>
                <w:szCs w:val="24"/>
              </w:rPr>
              <w:t>Lợi nhuận đã thực hiện</w:t>
            </w:r>
            <w:r w:rsidR="00E83C48" w:rsidRPr="002A7FEF">
              <w:rPr>
                <w:rFonts w:ascii="Times New Roman" w:hAnsi="Times New Roman"/>
                <w:b/>
                <w:sz w:val="24"/>
                <w:szCs w:val="24"/>
              </w:rPr>
              <w:t xml:space="preserve"> (VND)</w:t>
            </w:r>
          </w:p>
        </w:tc>
        <w:tc>
          <w:tcPr>
            <w:tcW w:w="1040" w:type="pct"/>
            <w:vAlign w:val="center"/>
            <w:hideMark/>
          </w:tcPr>
          <w:p w:rsidR="000A2248" w:rsidRPr="002A7FEF" w:rsidRDefault="000A2248" w:rsidP="004352B7">
            <w:pPr>
              <w:tabs>
                <w:tab w:val="left" w:pos="270"/>
                <w:tab w:val="left" w:pos="1134"/>
              </w:tabs>
              <w:spacing w:before="120" w:after="120" w:line="300" w:lineRule="auto"/>
              <w:contextualSpacing/>
              <w:jc w:val="center"/>
              <w:rPr>
                <w:rFonts w:ascii="Times New Roman" w:hAnsi="Times New Roman"/>
                <w:b/>
                <w:sz w:val="24"/>
                <w:szCs w:val="24"/>
              </w:rPr>
            </w:pPr>
            <w:r w:rsidRPr="002A7FEF">
              <w:rPr>
                <w:rFonts w:ascii="Times New Roman" w:hAnsi="Times New Roman"/>
                <w:b/>
                <w:sz w:val="24"/>
                <w:szCs w:val="24"/>
              </w:rPr>
              <w:t>Lợi nhuận chưa thực hiện</w:t>
            </w:r>
            <w:r w:rsidR="00E83C48" w:rsidRPr="002A7FEF">
              <w:rPr>
                <w:rFonts w:ascii="Times New Roman" w:hAnsi="Times New Roman"/>
                <w:b/>
                <w:sz w:val="24"/>
                <w:szCs w:val="24"/>
              </w:rPr>
              <w:t xml:space="preserve"> (VND)</w:t>
            </w:r>
          </w:p>
        </w:tc>
        <w:tc>
          <w:tcPr>
            <w:tcW w:w="848" w:type="pct"/>
            <w:vAlign w:val="center"/>
            <w:hideMark/>
          </w:tcPr>
          <w:p w:rsidR="000A2248" w:rsidRPr="002A7FEF" w:rsidRDefault="000A2248" w:rsidP="004352B7">
            <w:pPr>
              <w:tabs>
                <w:tab w:val="left" w:pos="270"/>
                <w:tab w:val="left" w:pos="1134"/>
              </w:tabs>
              <w:spacing w:before="120" w:after="120" w:line="300" w:lineRule="auto"/>
              <w:contextualSpacing/>
              <w:jc w:val="center"/>
              <w:rPr>
                <w:rFonts w:ascii="Times New Roman" w:hAnsi="Times New Roman"/>
                <w:b/>
                <w:sz w:val="24"/>
                <w:szCs w:val="24"/>
              </w:rPr>
            </w:pPr>
            <w:r w:rsidRPr="002A7FEF">
              <w:rPr>
                <w:rFonts w:ascii="Times New Roman" w:hAnsi="Times New Roman"/>
                <w:b/>
                <w:sz w:val="24"/>
                <w:szCs w:val="24"/>
              </w:rPr>
              <w:t>Tổng</w:t>
            </w:r>
          </w:p>
          <w:p w:rsidR="000A2248" w:rsidRPr="002A7FEF" w:rsidRDefault="000A2248" w:rsidP="004352B7">
            <w:pPr>
              <w:tabs>
                <w:tab w:val="left" w:pos="270"/>
                <w:tab w:val="left" w:pos="1134"/>
              </w:tabs>
              <w:spacing w:before="120" w:after="120" w:line="300" w:lineRule="auto"/>
              <w:contextualSpacing/>
              <w:jc w:val="center"/>
              <w:rPr>
                <w:rFonts w:ascii="Times New Roman" w:hAnsi="Times New Roman"/>
                <w:b/>
                <w:sz w:val="24"/>
                <w:szCs w:val="24"/>
              </w:rPr>
            </w:pPr>
            <w:r w:rsidRPr="002A7FEF">
              <w:rPr>
                <w:rFonts w:ascii="Times New Roman" w:hAnsi="Times New Roman"/>
                <w:b/>
                <w:sz w:val="24"/>
                <w:szCs w:val="24"/>
              </w:rPr>
              <w:t>(VND)</w:t>
            </w:r>
          </w:p>
        </w:tc>
      </w:tr>
      <w:tr w:rsidR="00E83C48" w:rsidRPr="002A7FEF" w:rsidTr="004D7F59">
        <w:trPr>
          <w:trHeight w:val="726"/>
          <w:tblCellSpacing w:w="11" w:type="dxa"/>
        </w:trPr>
        <w:tc>
          <w:tcPr>
            <w:tcW w:w="1998" w:type="pct"/>
            <w:vAlign w:val="center"/>
            <w:hideMark/>
          </w:tcPr>
          <w:p w:rsidR="000A2248" w:rsidRPr="002A7FEF" w:rsidRDefault="000A2248" w:rsidP="004352B7">
            <w:pPr>
              <w:tabs>
                <w:tab w:val="left" w:pos="270"/>
                <w:tab w:val="left" w:pos="1134"/>
              </w:tabs>
              <w:spacing w:before="120" w:after="120" w:line="300" w:lineRule="auto"/>
              <w:contextualSpacing/>
              <w:jc w:val="both"/>
              <w:rPr>
                <w:rFonts w:ascii="Times New Roman" w:hAnsi="Times New Roman"/>
                <w:sz w:val="24"/>
                <w:szCs w:val="24"/>
              </w:rPr>
            </w:pPr>
            <w:r w:rsidRPr="002A7FEF">
              <w:rPr>
                <w:rFonts w:ascii="Times New Roman" w:hAnsi="Times New Roman"/>
                <w:sz w:val="24"/>
                <w:szCs w:val="24"/>
              </w:rPr>
              <w:t xml:space="preserve">(i) trong thời hạn từ ngày thành lập </w:t>
            </w:r>
            <w:r w:rsidR="004352B7">
              <w:rPr>
                <w:rFonts w:ascii="Times New Roman" w:hAnsi="Times New Roman"/>
                <w:sz w:val="24"/>
                <w:szCs w:val="24"/>
              </w:rPr>
              <w:t>Q</w:t>
            </w:r>
            <w:r w:rsidRPr="002A7FEF">
              <w:rPr>
                <w:rFonts w:ascii="Times New Roman" w:hAnsi="Times New Roman"/>
                <w:sz w:val="24"/>
                <w:szCs w:val="24"/>
              </w:rPr>
              <w:t>uỹ 03/01/2019 đến ngày 30/06/2019</w:t>
            </w:r>
          </w:p>
        </w:tc>
        <w:tc>
          <w:tcPr>
            <w:tcW w:w="1054" w:type="pct"/>
            <w:vAlign w:val="center"/>
            <w:hideMark/>
          </w:tcPr>
          <w:p w:rsidR="000A2248" w:rsidRPr="002A7FEF" w:rsidRDefault="00063E75" w:rsidP="004352B7">
            <w:pPr>
              <w:tabs>
                <w:tab w:val="left" w:pos="270"/>
                <w:tab w:val="left" w:pos="1134"/>
              </w:tabs>
              <w:spacing w:before="120" w:after="120" w:line="300" w:lineRule="auto"/>
              <w:contextualSpacing/>
              <w:jc w:val="center"/>
              <w:rPr>
                <w:rFonts w:ascii="Times New Roman" w:hAnsi="Times New Roman"/>
                <w:sz w:val="24"/>
                <w:szCs w:val="24"/>
              </w:rPr>
            </w:pPr>
            <w:r w:rsidRPr="002A7FEF">
              <w:rPr>
                <w:rFonts w:ascii="Times New Roman" w:hAnsi="Times New Roman"/>
                <w:sz w:val="24"/>
                <w:szCs w:val="24"/>
              </w:rPr>
              <w:t>162.811.192</w:t>
            </w:r>
          </w:p>
        </w:tc>
        <w:tc>
          <w:tcPr>
            <w:tcW w:w="1040" w:type="pct"/>
            <w:vAlign w:val="center"/>
            <w:hideMark/>
          </w:tcPr>
          <w:p w:rsidR="000A2248" w:rsidRPr="002A7FEF" w:rsidRDefault="00063E75" w:rsidP="004352B7">
            <w:pPr>
              <w:tabs>
                <w:tab w:val="left" w:pos="270"/>
                <w:tab w:val="left" w:pos="1134"/>
              </w:tabs>
              <w:spacing w:before="120" w:after="120" w:line="300" w:lineRule="auto"/>
              <w:contextualSpacing/>
              <w:jc w:val="center"/>
              <w:rPr>
                <w:rFonts w:ascii="Times New Roman" w:hAnsi="Times New Roman"/>
                <w:sz w:val="24"/>
                <w:szCs w:val="24"/>
              </w:rPr>
            </w:pPr>
            <w:r w:rsidRPr="002A7FEF">
              <w:rPr>
                <w:rFonts w:ascii="Times New Roman" w:hAnsi="Times New Roman"/>
                <w:sz w:val="24"/>
                <w:szCs w:val="24"/>
              </w:rPr>
              <w:t>1.863.714.169</w:t>
            </w:r>
          </w:p>
        </w:tc>
        <w:tc>
          <w:tcPr>
            <w:tcW w:w="848" w:type="pct"/>
            <w:vAlign w:val="center"/>
            <w:hideMark/>
          </w:tcPr>
          <w:p w:rsidR="000A2248" w:rsidRPr="002A7FEF" w:rsidRDefault="00063E75" w:rsidP="004352B7">
            <w:pPr>
              <w:tabs>
                <w:tab w:val="left" w:pos="270"/>
                <w:tab w:val="left" w:pos="1134"/>
              </w:tabs>
              <w:spacing w:before="120" w:after="120" w:line="300" w:lineRule="auto"/>
              <w:contextualSpacing/>
              <w:jc w:val="center"/>
              <w:rPr>
                <w:rFonts w:ascii="Times New Roman" w:hAnsi="Times New Roman"/>
                <w:sz w:val="24"/>
                <w:szCs w:val="24"/>
              </w:rPr>
            </w:pPr>
            <w:r w:rsidRPr="002A7FEF">
              <w:rPr>
                <w:rFonts w:ascii="Times New Roman" w:hAnsi="Times New Roman"/>
                <w:sz w:val="24"/>
                <w:szCs w:val="24"/>
              </w:rPr>
              <w:t>2.026.525.361</w:t>
            </w:r>
          </w:p>
        </w:tc>
      </w:tr>
    </w:tbl>
    <w:p w:rsidR="00100534" w:rsidRPr="00AC01E9" w:rsidRDefault="00100534" w:rsidP="004352B7">
      <w:pPr>
        <w:pStyle w:val="ListParagraph"/>
        <w:numPr>
          <w:ilvl w:val="0"/>
          <w:numId w:val="3"/>
        </w:numPr>
        <w:tabs>
          <w:tab w:val="left" w:pos="270"/>
          <w:tab w:val="left" w:pos="1134"/>
        </w:tabs>
        <w:spacing w:before="120" w:after="120" w:line="300" w:lineRule="auto"/>
        <w:ind w:left="0" w:firstLine="0"/>
        <w:contextualSpacing w:val="0"/>
        <w:jc w:val="both"/>
        <w:rPr>
          <w:rFonts w:ascii="Times New Roman" w:hAnsi="Times New Roman"/>
          <w:sz w:val="24"/>
          <w:szCs w:val="24"/>
        </w:rPr>
      </w:pPr>
      <w:r w:rsidRPr="00AC01E9">
        <w:rPr>
          <w:rFonts w:ascii="Times New Roman" w:hAnsi="Times New Roman"/>
          <w:sz w:val="24"/>
          <w:szCs w:val="24"/>
        </w:rPr>
        <w:t>Các chỉ tiêu so sánh khác:</w:t>
      </w:r>
      <w:r w:rsidR="00063E75" w:rsidRPr="00AC01E9">
        <w:rPr>
          <w:rFonts w:ascii="Times New Roman" w:hAnsi="Times New Roman"/>
          <w:sz w:val="24"/>
          <w:szCs w:val="24"/>
        </w:rPr>
        <w:t xml:space="preserve"> </w:t>
      </w:r>
      <w:r w:rsidR="00063E75" w:rsidRPr="00AC01E9">
        <w:rPr>
          <w:rFonts w:ascii="Times New Roman" w:hAnsi="Times New Roman"/>
          <w:i/>
          <w:sz w:val="24"/>
          <w:szCs w:val="24"/>
        </w:rPr>
        <w:t>Không áp dụng</w:t>
      </w:r>
    </w:p>
    <w:p w:rsidR="00100534" w:rsidRPr="00B82976" w:rsidRDefault="00CD76F9" w:rsidP="004352B7">
      <w:pPr>
        <w:pStyle w:val="ListParagraph"/>
        <w:numPr>
          <w:ilvl w:val="0"/>
          <w:numId w:val="3"/>
        </w:numPr>
        <w:tabs>
          <w:tab w:val="left" w:pos="180"/>
          <w:tab w:val="left" w:pos="270"/>
          <w:tab w:val="left" w:pos="1134"/>
        </w:tabs>
        <w:spacing w:before="120" w:after="120" w:line="300" w:lineRule="auto"/>
        <w:ind w:left="0" w:firstLine="0"/>
        <w:contextualSpacing w:val="0"/>
        <w:jc w:val="both"/>
        <w:rPr>
          <w:rFonts w:ascii="Times New Roman" w:hAnsi="Times New Roman"/>
          <w:b/>
          <w:sz w:val="24"/>
          <w:szCs w:val="24"/>
        </w:rPr>
      </w:pPr>
      <w:r w:rsidRPr="002A7FEF">
        <w:rPr>
          <w:rFonts w:ascii="Times New Roman" w:hAnsi="Times New Roman"/>
          <w:sz w:val="24"/>
          <w:szCs w:val="24"/>
        </w:rPr>
        <w:t>K</w:t>
      </w:r>
      <w:r w:rsidR="00100534" w:rsidRPr="002A7FEF">
        <w:rPr>
          <w:rFonts w:ascii="Times New Roman" w:hAnsi="Times New Roman"/>
          <w:sz w:val="24"/>
          <w:szCs w:val="24"/>
        </w:rPr>
        <w:t>huyến cáo</w:t>
      </w:r>
      <w:r w:rsidRPr="002A7FEF">
        <w:rPr>
          <w:rFonts w:ascii="Times New Roman" w:hAnsi="Times New Roman"/>
          <w:sz w:val="24"/>
          <w:szCs w:val="24"/>
        </w:rPr>
        <w:t>:</w:t>
      </w:r>
      <w:r w:rsidR="00BC38CC">
        <w:rPr>
          <w:rFonts w:ascii="Times New Roman" w:hAnsi="Times New Roman"/>
          <w:sz w:val="24"/>
          <w:szCs w:val="24"/>
        </w:rPr>
        <w:t xml:space="preserve"> T</w:t>
      </w:r>
      <w:r w:rsidR="00100534" w:rsidRPr="002A7FEF">
        <w:rPr>
          <w:rFonts w:ascii="Times New Roman" w:hAnsi="Times New Roman"/>
          <w:sz w:val="24"/>
          <w:szCs w:val="24"/>
          <w:lang w:val="pt-BR"/>
        </w:rPr>
        <w:t xml:space="preserve">hông tin về kết quả hoạt động của </w:t>
      </w:r>
      <w:r w:rsidR="00BC38CC">
        <w:rPr>
          <w:rFonts w:ascii="Times New Roman" w:hAnsi="Times New Roman"/>
          <w:sz w:val="24"/>
          <w:szCs w:val="24"/>
          <w:lang w:val="pt-BR"/>
        </w:rPr>
        <w:t>Q</w:t>
      </w:r>
      <w:r w:rsidR="00100534" w:rsidRPr="002A7FEF">
        <w:rPr>
          <w:rFonts w:ascii="Times New Roman" w:hAnsi="Times New Roman"/>
          <w:sz w:val="24"/>
          <w:szCs w:val="24"/>
          <w:lang w:val="pt-BR"/>
        </w:rPr>
        <w:t xml:space="preserve">uỹ chỉ mang tính tham khảo và không có nghĩa là việc đầu tư sẽ bảo đảm khả năng sinh lời cho </w:t>
      </w:r>
      <w:r w:rsidR="00BC38CC">
        <w:rPr>
          <w:rFonts w:ascii="Times New Roman" w:hAnsi="Times New Roman"/>
          <w:sz w:val="24"/>
          <w:szCs w:val="24"/>
          <w:lang w:val="pt-BR"/>
        </w:rPr>
        <w:t>N</w:t>
      </w:r>
      <w:r w:rsidR="00100534" w:rsidRPr="002A7FEF">
        <w:rPr>
          <w:rFonts w:ascii="Times New Roman" w:hAnsi="Times New Roman"/>
          <w:sz w:val="24"/>
          <w:szCs w:val="24"/>
          <w:lang w:val="pt-BR"/>
        </w:rPr>
        <w:t>hà đầu tư</w:t>
      </w:r>
      <w:r w:rsidR="00BC38CC">
        <w:rPr>
          <w:rFonts w:ascii="Times New Roman" w:hAnsi="Times New Roman"/>
          <w:sz w:val="24"/>
          <w:szCs w:val="24"/>
          <w:lang w:val="pt-BR"/>
        </w:rPr>
        <w:t xml:space="preserve"> trong tương lai.</w:t>
      </w:r>
    </w:p>
    <w:p w:rsidR="00100534" w:rsidRPr="002A7FEF" w:rsidRDefault="00100534" w:rsidP="004352B7">
      <w:pPr>
        <w:pStyle w:val="ListParagraph"/>
        <w:numPr>
          <w:ilvl w:val="0"/>
          <w:numId w:val="1"/>
        </w:numPr>
        <w:tabs>
          <w:tab w:val="left" w:pos="270"/>
          <w:tab w:val="left" w:pos="1134"/>
        </w:tabs>
        <w:spacing w:before="120" w:after="120" w:line="300" w:lineRule="auto"/>
        <w:ind w:left="0" w:firstLine="0"/>
        <w:contextualSpacing w:val="0"/>
        <w:jc w:val="both"/>
        <w:rPr>
          <w:rFonts w:ascii="Times New Roman" w:hAnsi="Times New Roman"/>
          <w:b/>
          <w:sz w:val="24"/>
          <w:szCs w:val="24"/>
        </w:rPr>
      </w:pPr>
      <w:r w:rsidRPr="002A7FEF">
        <w:rPr>
          <w:rFonts w:ascii="Times New Roman" w:hAnsi="Times New Roman"/>
          <w:b/>
          <w:sz w:val="24"/>
          <w:szCs w:val="24"/>
        </w:rPr>
        <w:t xml:space="preserve">Báo cáo về hoạt động quản lý tài sản của Công ty </w:t>
      </w:r>
      <w:r w:rsidR="00BC38CC">
        <w:rPr>
          <w:rFonts w:ascii="Times New Roman" w:hAnsi="Times New Roman"/>
          <w:b/>
          <w:sz w:val="24"/>
          <w:szCs w:val="24"/>
        </w:rPr>
        <w:t>Q</w:t>
      </w:r>
      <w:r w:rsidRPr="002A7FEF">
        <w:rPr>
          <w:rFonts w:ascii="Times New Roman" w:hAnsi="Times New Roman"/>
          <w:b/>
          <w:sz w:val="24"/>
          <w:szCs w:val="24"/>
        </w:rPr>
        <w:t xml:space="preserve">uản lý </w:t>
      </w:r>
      <w:r w:rsidR="00BC38CC">
        <w:rPr>
          <w:rFonts w:ascii="Times New Roman" w:hAnsi="Times New Roman"/>
          <w:b/>
          <w:sz w:val="24"/>
          <w:szCs w:val="24"/>
        </w:rPr>
        <w:t>Q</w:t>
      </w:r>
      <w:r w:rsidRPr="002A7FEF">
        <w:rPr>
          <w:rFonts w:ascii="Times New Roman" w:hAnsi="Times New Roman"/>
          <w:b/>
          <w:sz w:val="24"/>
          <w:szCs w:val="24"/>
        </w:rPr>
        <w:t>uỹ</w:t>
      </w:r>
    </w:p>
    <w:p w:rsidR="00100534" w:rsidRPr="002A7FEF" w:rsidRDefault="00100534" w:rsidP="004352B7">
      <w:pPr>
        <w:pStyle w:val="ListParagraph"/>
        <w:numPr>
          <w:ilvl w:val="0"/>
          <w:numId w:val="5"/>
        </w:numPr>
        <w:tabs>
          <w:tab w:val="left" w:pos="270"/>
          <w:tab w:val="left" w:pos="1134"/>
        </w:tabs>
        <w:spacing w:before="120" w:after="120" w:line="300" w:lineRule="auto"/>
        <w:ind w:left="0" w:firstLine="0"/>
        <w:contextualSpacing w:val="0"/>
        <w:jc w:val="both"/>
        <w:rPr>
          <w:rFonts w:ascii="Times New Roman" w:hAnsi="Times New Roman"/>
          <w:sz w:val="24"/>
          <w:szCs w:val="24"/>
        </w:rPr>
      </w:pPr>
      <w:r w:rsidRPr="002A7FEF">
        <w:rPr>
          <w:rFonts w:ascii="Times New Roman" w:hAnsi="Times New Roman"/>
          <w:sz w:val="24"/>
          <w:szCs w:val="24"/>
        </w:rPr>
        <w:t xml:space="preserve">Thuyết minh về việc thay đổi Công ty </w:t>
      </w:r>
      <w:r w:rsidR="00AE6D17">
        <w:rPr>
          <w:rFonts w:ascii="Times New Roman" w:hAnsi="Times New Roman"/>
          <w:sz w:val="24"/>
          <w:szCs w:val="24"/>
        </w:rPr>
        <w:t>Q</w:t>
      </w:r>
      <w:r w:rsidRPr="002A7FEF">
        <w:rPr>
          <w:rFonts w:ascii="Times New Roman" w:hAnsi="Times New Roman"/>
          <w:sz w:val="24"/>
          <w:szCs w:val="24"/>
        </w:rPr>
        <w:t xml:space="preserve">uản lý </w:t>
      </w:r>
      <w:r w:rsidR="00AE6D17">
        <w:rPr>
          <w:rFonts w:ascii="Times New Roman" w:hAnsi="Times New Roman"/>
          <w:sz w:val="24"/>
          <w:szCs w:val="24"/>
        </w:rPr>
        <w:t>Q</w:t>
      </w:r>
      <w:r w:rsidRPr="002A7FEF">
        <w:rPr>
          <w:rFonts w:ascii="Times New Roman" w:hAnsi="Times New Roman"/>
          <w:sz w:val="24"/>
          <w:szCs w:val="24"/>
        </w:rPr>
        <w:t>uỹ</w:t>
      </w:r>
      <w:r w:rsidR="003A0280" w:rsidRPr="002A7FEF">
        <w:rPr>
          <w:rFonts w:ascii="Times New Roman" w:hAnsi="Times New Roman"/>
          <w:sz w:val="24"/>
          <w:szCs w:val="24"/>
        </w:rPr>
        <w:t xml:space="preserve">: </w:t>
      </w:r>
      <w:r w:rsidR="00063E75" w:rsidRPr="002A7FEF">
        <w:rPr>
          <w:rFonts w:ascii="Times New Roman" w:hAnsi="Times New Roman"/>
          <w:i/>
          <w:sz w:val="24"/>
          <w:szCs w:val="24"/>
        </w:rPr>
        <w:t xml:space="preserve">Quỹ không có thay đổi Công ty </w:t>
      </w:r>
      <w:r w:rsidR="00BC38CC">
        <w:rPr>
          <w:rFonts w:ascii="Times New Roman" w:hAnsi="Times New Roman"/>
          <w:i/>
          <w:sz w:val="24"/>
          <w:szCs w:val="24"/>
        </w:rPr>
        <w:t>Q</w:t>
      </w:r>
      <w:r w:rsidR="00063E75" w:rsidRPr="002A7FEF">
        <w:rPr>
          <w:rFonts w:ascii="Times New Roman" w:hAnsi="Times New Roman"/>
          <w:i/>
          <w:sz w:val="24"/>
          <w:szCs w:val="24"/>
        </w:rPr>
        <w:t xml:space="preserve">uản lý </w:t>
      </w:r>
      <w:r w:rsidR="00BC38CC">
        <w:rPr>
          <w:rFonts w:ascii="Times New Roman" w:hAnsi="Times New Roman"/>
          <w:i/>
          <w:sz w:val="24"/>
          <w:szCs w:val="24"/>
        </w:rPr>
        <w:t>Q</w:t>
      </w:r>
      <w:r w:rsidR="00063E75" w:rsidRPr="002A7FEF">
        <w:rPr>
          <w:rFonts w:ascii="Times New Roman" w:hAnsi="Times New Roman"/>
          <w:i/>
          <w:sz w:val="24"/>
          <w:szCs w:val="24"/>
        </w:rPr>
        <w:t>uỹ trong kỳ báo cáo</w:t>
      </w:r>
      <w:r w:rsidR="00AC01E9">
        <w:rPr>
          <w:rFonts w:ascii="Times New Roman" w:hAnsi="Times New Roman"/>
          <w:i/>
          <w:sz w:val="24"/>
          <w:szCs w:val="24"/>
        </w:rPr>
        <w:t>;</w:t>
      </w:r>
    </w:p>
    <w:p w:rsidR="00100534" w:rsidRPr="00BC38CC" w:rsidRDefault="00100534" w:rsidP="004352B7">
      <w:pPr>
        <w:pStyle w:val="ListParagraph"/>
        <w:numPr>
          <w:ilvl w:val="0"/>
          <w:numId w:val="5"/>
        </w:numPr>
        <w:tabs>
          <w:tab w:val="left" w:pos="270"/>
          <w:tab w:val="left" w:pos="1134"/>
        </w:tabs>
        <w:spacing w:before="120" w:after="120" w:line="300" w:lineRule="auto"/>
        <w:ind w:left="0" w:firstLine="0"/>
        <w:contextualSpacing w:val="0"/>
        <w:jc w:val="both"/>
        <w:rPr>
          <w:rFonts w:ascii="Times New Roman" w:hAnsi="Times New Roman"/>
          <w:i/>
          <w:sz w:val="24"/>
          <w:szCs w:val="24"/>
        </w:rPr>
      </w:pPr>
      <w:r w:rsidRPr="002A7FEF">
        <w:rPr>
          <w:rFonts w:ascii="Times New Roman" w:hAnsi="Times New Roman"/>
          <w:sz w:val="24"/>
          <w:szCs w:val="24"/>
        </w:rPr>
        <w:t xml:space="preserve">Thuyết minh về việc </w:t>
      </w:r>
      <w:r w:rsidR="00BC38CC">
        <w:rPr>
          <w:rFonts w:ascii="Times New Roman" w:hAnsi="Times New Roman"/>
          <w:sz w:val="24"/>
          <w:szCs w:val="24"/>
        </w:rPr>
        <w:t>Q</w:t>
      </w:r>
      <w:r w:rsidRPr="002A7FEF">
        <w:rPr>
          <w:rFonts w:ascii="Times New Roman" w:hAnsi="Times New Roman"/>
          <w:sz w:val="24"/>
          <w:szCs w:val="24"/>
        </w:rPr>
        <w:t>uỹ có đạt được mục tiêu đầu tư</w:t>
      </w:r>
      <w:r w:rsidR="00BC38CC">
        <w:rPr>
          <w:rFonts w:ascii="Times New Roman" w:hAnsi="Times New Roman"/>
          <w:sz w:val="24"/>
          <w:szCs w:val="24"/>
        </w:rPr>
        <w:t xml:space="preserve">: </w:t>
      </w:r>
      <w:r w:rsidR="00BC38CC" w:rsidRPr="00BC38CC">
        <w:rPr>
          <w:rFonts w:ascii="Times New Roman" w:hAnsi="Times New Roman"/>
          <w:i/>
          <w:sz w:val="24"/>
          <w:szCs w:val="24"/>
        </w:rPr>
        <w:t>Không áp dụng</w:t>
      </w:r>
      <w:r w:rsidRPr="00BC38CC">
        <w:rPr>
          <w:rFonts w:ascii="Times New Roman" w:hAnsi="Times New Roman"/>
          <w:i/>
          <w:sz w:val="24"/>
          <w:szCs w:val="24"/>
        </w:rPr>
        <w:t xml:space="preserve"> (thuyết minh này chỉ cần thiết tại báo cáo hàng năm của </w:t>
      </w:r>
      <w:r w:rsidR="00BC38CC">
        <w:rPr>
          <w:rFonts w:ascii="Times New Roman" w:hAnsi="Times New Roman"/>
          <w:i/>
          <w:sz w:val="24"/>
          <w:szCs w:val="24"/>
        </w:rPr>
        <w:t>Q</w:t>
      </w:r>
      <w:r w:rsidRPr="00BC38CC">
        <w:rPr>
          <w:rFonts w:ascii="Times New Roman" w:hAnsi="Times New Roman"/>
          <w:i/>
          <w:sz w:val="24"/>
          <w:szCs w:val="24"/>
        </w:rPr>
        <w:t>uỹ);</w:t>
      </w:r>
    </w:p>
    <w:p w:rsidR="00100534" w:rsidRPr="004F236F" w:rsidRDefault="00100534" w:rsidP="004352B7">
      <w:pPr>
        <w:pStyle w:val="ListParagraph"/>
        <w:numPr>
          <w:ilvl w:val="0"/>
          <w:numId w:val="5"/>
        </w:numPr>
        <w:tabs>
          <w:tab w:val="left" w:pos="270"/>
          <w:tab w:val="left" w:pos="1134"/>
        </w:tabs>
        <w:spacing w:before="120" w:after="120" w:line="300" w:lineRule="auto"/>
        <w:ind w:left="0" w:firstLine="0"/>
        <w:jc w:val="both"/>
        <w:rPr>
          <w:rFonts w:ascii="Times New Roman" w:hAnsi="Times New Roman"/>
          <w:sz w:val="24"/>
          <w:szCs w:val="24"/>
        </w:rPr>
      </w:pPr>
      <w:r w:rsidRPr="004F236F">
        <w:rPr>
          <w:rFonts w:ascii="Times New Roman" w:hAnsi="Times New Roman"/>
          <w:sz w:val="24"/>
          <w:szCs w:val="24"/>
        </w:rPr>
        <w:t xml:space="preserve">So sánh kết quả lợi nhuận của </w:t>
      </w:r>
      <w:r w:rsidR="00BC38CC" w:rsidRPr="004F236F">
        <w:rPr>
          <w:rFonts w:ascii="Times New Roman" w:hAnsi="Times New Roman"/>
          <w:sz w:val="24"/>
          <w:szCs w:val="24"/>
        </w:rPr>
        <w:t>Q</w:t>
      </w:r>
      <w:r w:rsidRPr="004F236F">
        <w:rPr>
          <w:rFonts w:ascii="Times New Roman" w:hAnsi="Times New Roman"/>
          <w:sz w:val="24"/>
          <w:szCs w:val="24"/>
        </w:rPr>
        <w:t>uỹ với kết quả lợi nhuận của danh mục tham chiếu, chỉ số cơ sở công bố tại Bản cáo bạch trong cùng kỳ báo cáo (bằng đồ thị);</w:t>
      </w:r>
    </w:p>
    <w:p w:rsidR="00645123" w:rsidRPr="002A7FEF" w:rsidRDefault="006A422D" w:rsidP="00645123">
      <w:pPr>
        <w:pStyle w:val="ListParagraph"/>
        <w:tabs>
          <w:tab w:val="left" w:pos="270"/>
          <w:tab w:val="left" w:pos="1134"/>
        </w:tabs>
        <w:spacing w:after="0" w:line="300" w:lineRule="auto"/>
        <w:ind w:left="0"/>
        <w:jc w:val="both"/>
        <w:rPr>
          <w:rFonts w:ascii="Times New Roman" w:hAnsi="Times New Roman"/>
          <w:sz w:val="24"/>
          <w:szCs w:val="24"/>
        </w:rPr>
      </w:pPr>
      <w:r>
        <w:rPr>
          <w:noProof/>
        </w:rPr>
        <w:lastRenderedPageBreak/>
        <w:drawing>
          <wp:inline distT="0" distB="0" distL="0" distR="0">
            <wp:extent cx="4371975" cy="2828925"/>
            <wp:effectExtent l="0" t="0" r="9525" b="9525"/>
            <wp:docPr id="4" name="Picture 4" descr="cid:image001.png@01D54630.2195A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4630.2195AF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71975" cy="2828925"/>
                    </a:xfrm>
                    <a:prstGeom prst="rect">
                      <a:avLst/>
                    </a:prstGeom>
                    <a:noFill/>
                    <a:ln>
                      <a:noFill/>
                    </a:ln>
                  </pic:spPr>
                </pic:pic>
              </a:graphicData>
            </a:graphic>
          </wp:inline>
        </w:drawing>
      </w:r>
    </w:p>
    <w:p w:rsidR="00F27D08" w:rsidRDefault="00F27D08" w:rsidP="00645123">
      <w:pPr>
        <w:pStyle w:val="ListParagraph"/>
        <w:tabs>
          <w:tab w:val="left" w:pos="270"/>
          <w:tab w:val="left" w:pos="1134"/>
        </w:tabs>
        <w:spacing w:after="0" w:line="300" w:lineRule="auto"/>
        <w:ind w:left="0"/>
        <w:jc w:val="both"/>
        <w:rPr>
          <w:rFonts w:ascii="Times New Roman" w:hAnsi="Times New Roman"/>
          <w:i/>
        </w:rPr>
      </w:pPr>
      <w:r w:rsidRPr="004352B7">
        <w:rPr>
          <w:rFonts w:ascii="Times New Roman" w:hAnsi="Times New Roman"/>
          <w:i/>
        </w:rPr>
        <w:t>(Ghi chú: Quỹ hoàn tất giải ngân từ ngày 31/01/2019)</w:t>
      </w:r>
    </w:p>
    <w:p w:rsidR="006A422D" w:rsidRPr="004352B7" w:rsidRDefault="006A422D" w:rsidP="00645123">
      <w:pPr>
        <w:pStyle w:val="ListParagraph"/>
        <w:tabs>
          <w:tab w:val="left" w:pos="270"/>
          <w:tab w:val="left" w:pos="1134"/>
        </w:tabs>
        <w:spacing w:after="0" w:line="300" w:lineRule="auto"/>
        <w:ind w:left="0"/>
        <w:jc w:val="both"/>
        <w:rPr>
          <w:rFonts w:ascii="Times New Roman" w:hAnsi="Times New Roman"/>
        </w:rPr>
      </w:pPr>
    </w:p>
    <w:p w:rsidR="00F27D08" w:rsidRPr="002A7FEF" w:rsidRDefault="006A422D" w:rsidP="00645123">
      <w:pPr>
        <w:pStyle w:val="ListParagraph"/>
        <w:tabs>
          <w:tab w:val="left" w:pos="270"/>
          <w:tab w:val="left" w:pos="1134"/>
        </w:tabs>
        <w:spacing w:after="0" w:line="300" w:lineRule="auto"/>
        <w:ind w:left="0"/>
        <w:jc w:val="both"/>
        <w:rPr>
          <w:rFonts w:ascii="Times New Roman" w:hAnsi="Times New Roman"/>
          <w:sz w:val="24"/>
          <w:szCs w:val="24"/>
        </w:rPr>
      </w:pPr>
      <w:r>
        <w:rPr>
          <w:noProof/>
        </w:rPr>
        <w:drawing>
          <wp:inline distT="0" distB="0" distL="0" distR="0">
            <wp:extent cx="4381500" cy="1343025"/>
            <wp:effectExtent l="0" t="0" r="0" b="9525"/>
            <wp:docPr id="5" name="Picture 5" descr="cid:image002.png@01D54630.2195A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4630.2195AF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381500" cy="1343025"/>
                    </a:xfrm>
                    <a:prstGeom prst="rect">
                      <a:avLst/>
                    </a:prstGeom>
                    <a:noFill/>
                    <a:ln>
                      <a:noFill/>
                    </a:ln>
                  </pic:spPr>
                </pic:pic>
              </a:graphicData>
            </a:graphic>
          </wp:inline>
        </w:drawing>
      </w:r>
    </w:p>
    <w:p w:rsidR="00F27D08" w:rsidRPr="002A7FEF" w:rsidRDefault="00F27D08" w:rsidP="004352B7">
      <w:pPr>
        <w:pStyle w:val="ListParagraph"/>
        <w:tabs>
          <w:tab w:val="left" w:pos="270"/>
          <w:tab w:val="left" w:pos="1134"/>
        </w:tabs>
        <w:spacing w:before="120" w:after="120" w:line="300" w:lineRule="auto"/>
        <w:ind w:left="0"/>
        <w:contextualSpacing w:val="0"/>
        <w:jc w:val="both"/>
        <w:rPr>
          <w:rFonts w:ascii="Times New Roman" w:hAnsi="Times New Roman"/>
          <w:sz w:val="24"/>
          <w:szCs w:val="24"/>
        </w:rPr>
      </w:pPr>
      <w:r w:rsidRPr="002A7FEF">
        <w:rPr>
          <w:rFonts w:ascii="Times New Roman" w:hAnsi="Times New Roman"/>
          <w:sz w:val="24"/>
          <w:szCs w:val="24"/>
        </w:rPr>
        <w:t>Quỹ bắt đầu giải ngân ngày 10/01/2019 và hoàn tất giải ngân đến cuối tháng 01 năm 2019. Sau thời gian giải ngân ban đầu, Quỹ đã bắt nhịp thị trường, cụ thể trong ba tháng gần nhất tức trong Quý 2, Quỹ đạt tỷ suất sinh lời so sánh tốt hơn so với VN-index (+0.61%). Tính từ thời điểm bắt đầu giải ngân đến cuối tháng 06/2019, Quỹ đạt được tỷ suất sinh lời 2.80%, thấp hơn 2.95% so với chỉ số VN-index.</w:t>
      </w:r>
    </w:p>
    <w:p w:rsidR="00100534" w:rsidRPr="004F236F" w:rsidRDefault="00100534" w:rsidP="004352B7">
      <w:pPr>
        <w:pStyle w:val="ListParagraph"/>
        <w:numPr>
          <w:ilvl w:val="0"/>
          <w:numId w:val="5"/>
        </w:numPr>
        <w:tabs>
          <w:tab w:val="left" w:pos="270"/>
          <w:tab w:val="left" w:pos="1134"/>
        </w:tabs>
        <w:spacing w:before="120" w:after="120" w:line="300" w:lineRule="auto"/>
        <w:ind w:left="0" w:firstLine="0"/>
        <w:contextualSpacing w:val="0"/>
        <w:jc w:val="both"/>
        <w:rPr>
          <w:rFonts w:ascii="Times New Roman" w:hAnsi="Times New Roman"/>
          <w:sz w:val="24"/>
          <w:szCs w:val="24"/>
        </w:rPr>
      </w:pPr>
      <w:r w:rsidRPr="004F236F">
        <w:rPr>
          <w:rFonts w:ascii="Times New Roman" w:hAnsi="Times New Roman"/>
          <w:sz w:val="24"/>
          <w:szCs w:val="24"/>
        </w:rPr>
        <w:t xml:space="preserve">So sánh kết quả lợi nhuận của </w:t>
      </w:r>
      <w:r w:rsidR="00BC38CC" w:rsidRPr="004F236F">
        <w:rPr>
          <w:rFonts w:ascii="Times New Roman" w:hAnsi="Times New Roman"/>
          <w:sz w:val="24"/>
          <w:szCs w:val="24"/>
        </w:rPr>
        <w:t>Q</w:t>
      </w:r>
      <w:r w:rsidRPr="004F236F">
        <w:rPr>
          <w:rFonts w:ascii="Times New Roman" w:hAnsi="Times New Roman"/>
          <w:sz w:val="24"/>
          <w:szCs w:val="24"/>
        </w:rPr>
        <w:t>uỹ với kết quả lợi nhuận của danh mục tham chiếu, chỉ số cơ sở công bố tại Bản cáo bạch trong khoảng thời gian năm (05) năm gần nhất, tính tới ngày báo cáo (bằng đồ thị)</w:t>
      </w:r>
      <w:r w:rsidR="00F27D08" w:rsidRPr="004F236F">
        <w:rPr>
          <w:rFonts w:ascii="Times New Roman" w:hAnsi="Times New Roman"/>
          <w:sz w:val="24"/>
          <w:szCs w:val="24"/>
        </w:rPr>
        <w:t xml:space="preserve">: </w:t>
      </w:r>
      <w:r w:rsidR="00AA2CB5" w:rsidRPr="004F236F">
        <w:rPr>
          <w:rFonts w:ascii="Times New Roman" w:hAnsi="Times New Roman"/>
          <w:i/>
          <w:sz w:val="24"/>
          <w:szCs w:val="24"/>
        </w:rPr>
        <w:t>không áp dụng do Quỹ mới thành lập và đi vào hoạt động từ ngày 03/01/2019</w:t>
      </w:r>
      <w:r w:rsidRPr="004F236F">
        <w:rPr>
          <w:rFonts w:ascii="Times New Roman" w:hAnsi="Times New Roman"/>
          <w:sz w:val="24"/>
          <w:szCs w:val="24"/>
        </w:rPr>
        <w:t>;</w:t>
      </w:r>
    </w:p>
    <w:p w:rsidR="00100534" w:rsidRPr="00AE6D17" w:rsidRDefault="00100534" w:rsidP="004352B7">
      <w:pPr>
        <w:pStyle w:val="ListParagraph"/>
        <w:tabs>
          <w:tab w:val="left" w:pos="270"/>
          <w:tab w:val="left" w:pos="1134"/>
        </w:tabs>
        <w:spacing w:before="120" w:after="120" w:line="300" w:lineRule="auto"/>
        <w:ind w:left="0"/>
        <w:contextualSpacing w:val="0"/>
        <w:jc w:val="both"/>
        <w:rPr>
          <w:rFonts w:ascii="Times New Roman" w:hAnsi="Times New Roman"/>
          <w:sz w:val="24"/>
          <w:szCs w:val="24"/>
        </w:rPr>
      </w:pPr>
      <w:r w:rsidRPr="004F236F">
        <w:rPr>
          <w:rFonts w:ascii="Times New Roman" w:hAnsi="Times New Roman"/>
          <w:sz w:val="24"/>
          <w:szCs w:val="24"/>
        </w:rPr>
        <w:t xml:space="preserve">e) Mô tả chiến lược, chiến thuật đầu tư mà </w:t>
      </w:r>
      <w:r w:rsidR="00BC38CC" w:rsidRPr="004F236F">
        <w:rPr>
          <w:rFonts w:ascii="Times New Roman" w:hAnsi="Times New Roman"/>
          <w:sz w:val="24"/>
          <w:szCs w:val="24"/>
        </w:rPr>
        <w:t>Q</w:t>
      </w:r>
      <w:r w:rsidRPr="004F236F">
        <w:rPr>
          <w:rFonts w:ascii="Times New Roman" w:hAnsi="Times New Roman"/>
          <w:sz w:val="24"/>
          <w:szCs w:val="24"/>
        </w:rPr>
        <w:t>uỹ đã sử dụng trong kỳ báo cáo. Trường hợp có</w:t>
      </w:r>
      <w:r w:rsidRPr="00AE6D17">
        <w:rPr>
          <w:rFonts w:ascii="Times New Roman" w:hAnsi="Times New Roman"/>
          <w:sz w:val="24"/>
          <w:szCs w:val="24"/>
        </w:rPr>
        <w:t xml:space="preserve"> sự khác biệt giữa chiến lược, chiến thuật đầu tư thực hiện trong kỳ so với chiến lược, chiến thuật đầu tư đã công bố tại Bản cáo bạch, thì phải bổ sung thuyết minh và đánh giá ưu, nhược điểm của chiến lược, chiến thuật đầu tư đã thực hiện trong kỳ;</w:t>
      </w:r>
    </w:p>
    <w:p w:rsidR="00AA2CB5" w:rsidRPr="002A7FEF" w:rsidRDefault="00AA2CB5" w:rsidP="004352B7">
      <w:pPr>
        <w:pStyle w:val="ListParagraph"/>
        <w:tabs>
          <w:tab w:val="left" w:pos="270"/>
          <w:tab w:val="left" w:pos="1134"/>
        </w:tabs>
        <w:spacing w:before="120" w:after="120" w:line="300" w:lineRule="auto"/>
        <w:ind w:left="0"/>
        <w:contextualSpacing w:val="0"/>
        <w:jc w:val="both"/>
        <w:rPr>
          <w:rFonts w:ascii="Times New Roman" w:hAnsi="Times New Roman"/>
          <w:sz w:val="24"/>
          <w:szCs w:val="24"/>
        </w:rPr>
      </w:pPr>
      <w:r w:rsidRPr="002A7FEF">
        <w:rPr>
          <w:rFonts w:ascii="Times New Roman" w:hAnsi="Times New Roman"/>
          <w:sz w:val="24"/>
          <w:szCs w:val="24"/>
        </w:rPr>
        <w:t xml:space="preserve">Chiến lược đầu tư của Quỹ theo đúng chiến lược đã công bố tại Bản cáo bạch: Quỹ sẽ đầu tư vào một danh mục đầu tư đa dạng hóa bao gồm các cổ phiếu niêm yết có mức vốn hóa lớn trên Thị trường Chứng khoán Việt Nam. Việc lựa chọn ngành nghề và công ty được thực hiện trên cơ sở </w:t>
      </w:r>
      <w:r w:rsidRPr="002A7FEF">
        <w:rPr>
          <w:rFonts w:ascii="Times New Roman" w:hAnsi="Times New Roman"/>
          <w:sz w:val="24"/>
          <w:szCs w:val="24"/>
        </w:rPr>
        <w:lastRenderedPageBreak/>
        <w:t xml:space="preserve">đánh giá giá trị (value style), phân tích cơ bản (fundamental analysis) và đánh giá các yếu tố thị trường. </w:t>
      </w:r>
    </w:p>
    <w:p w:rsidR="00AA2CB5" w:rsidRPr="002A7FEF" w:rsidRDefault="00AA2CB5" w:rsidP="004352B7">
      <w:pPr>
        <w:pStyle w:val="ListParagraph"/>
        <w:tabs>
          <w:tab w:val="left" w:pos="270"/>
          <w:tab w:val="left" w:pos="1134"/>
        </w:tabs>
        <w:spacing w:before="120" w:after="120" w:line="300" w:lineRule="auto"/>
        <w:ind w:left="0"/>
        <w:contextualSpacing w:val="0"/>
        <w:jc w:val="both"/>
        <w:rPr>
          <w:rFonts w:ascii="Times New Roman" w:hAnsi="Times New Roman"/>
          <w:sz w:val="24"/>
          <w:szCs w:val="24"/>
        </w:rPr>
      </w:pPr>
      <w:r w:rsidRPr="002A7FEF">
        <w:rPr>
          <w:rFonts w:ascii="Times New Roman" w:hAnsi="Times New Roman"/>
          <w:sz w:val="24"/>
          <w:szCs w:val="24"/>
        </w:rPr>
        <w:t>Điều kiện lựa chọn công ty như sau:</w:t>
      </w:r>
    </w:p>
    <w:p w:rsidR="00AA2CB5" w:rsidRPr="002A7FEF" w:rsidRDefault="00AA2CB5" w:rsidP="004352B7">
      <w:pPr>
        <w:pStyle w:val="NoSpacing"/>
        <w:numPr>
          <w:ilvl w:val="0"/>
          <w:numId w:val="9"/>
        </w:numPr>
        <w:spacing w:before="120" w:after="120" w:line="276" w:lineRule="auto"/>
        <w:jc w:val="both"/>
        <w:rPr>
          <w:rFonts w:ascii="Times New Roman" w:hAnsi="Times New Roman" w:cs="Times New Roman"/>
          <w:sz w:val="24"/>
          <w:szCs w:val="24"/>
        </w:rPr>
      </w:pPr>
      <w:r w:rsidRPr="002A7FEF">
        <w:rPr>
          <w:rFonts w:ascii="Times New Roman" w:hAnsi="Times New Roman" w:cs="Times New Roman"/>
          <w:sz w:val="24"/>
          <w:szCs w:val="24"/>
        </w:rPr>
        <w:t>Là công ty trong nhóm dẫn đầu ngành nghề kinh doanh</w:t>
      </w:r>
    </w:p>
    <w:p w:rsidR="00AA2CB5" w:rsidRPr="002A7FEF" w:rsidRDefault="00AA2CB5" w:rsidP="004352B7">
      <w:pPr>
        <w:pStyle w:val="NoSpacing"/>
        <w:numPr>
          <w:ilvl w:val="0"/>
          <w:numId w:val="9"/>
        </w:numPr>
        <w:spacing w:before="120" w:after="120" w:line="276" w:lineRule="auto"/>
        <w:jc w:val="both"/>
        <w:rPr>
          <w:rFonts w:ascii="Times New Roman" w:hAnsi="Times New Roman" w:cs="Times New Roman"/>
          <w:sz w:val="24"/>
          <w:szCs w:val="24"/>
        </w:rPr>
      </w:pPr>
      <w:r w:rsidRPr="002A7FEF">
        <w:rPr>
          <w:rFonts w:ascii="Times New Roman" w:hAnsi="Times New Roman" w:cs="Times New Roman"/>
          <w:sz w:val="24"/>
          <w:szCs w:val="24"/>
        </w:rPr>
        <w:t>Có tình trạng tài chính lành mạnh</w:t>
      </w:r>
    </w:p>
    <w:p w:rsidR="00AA2CB5" w:rsidRPr="002A7FEF" w:rsidRDefault="00AA2CB5" w:rsidP="004352B7">
      <w:pPr>
        <w:pStyle w:val="NoSpacing"/>
        <w:numPr>
          <w:ilvl w:val="0"/>
          <w:numId w:val="9"/>
        </w:numPr>
        <w:spacing w:before="120" w:after="120" w:line="276" w:lineRule="auto"/>
        <w:jc w:val="both"/>
        <w:rPr>
          <w:rFonts w:ascii="Times New Roman" w:hAnsi="Times New Roman" w:cs="Times New Roman"/>
          <w:sz w:val="24"/>
          <w:szCs w:val="24"/>
        </w:rPr>
      </w:pPr>
      <w:r w:rsidRPr="002A7FEF">
        <w:rPr>
          <w:rFonts w:ascii="Times New Roman" w:hAnsi="Times New Roman" w:cs="Times New Roman"/>
          <w:sz w:val="24"/>
          <w:szCs w:val="24"/>
        </w:rPr>
        <w:t>Có dòng tiền ổn định, chất lượng tài sản tốt</w:t>
      </w:r>
    </w:p>
    <w:p w:rsidR="00AA2CB5" w:rsidRPr="002A7FEF" w:rsidRDefault="00AA2CB5" w:rsidP="004352B7">
      <w:pPr>
        <w:pStyle w:val="NoSpacing"/>
        <w:numPr>
          <w:ilvl w:val="0"/>
          <w:numId w:val="9"/>
        </w:numPr>
        <w:spacing w:before="120" w:after="120" w:line="276" w:lineRule="auto"/>
        <w:jc w:val="both"/>
        <w:rPr>
          <w:rFonts w:ascii="Times New Roman" w:hAnsi="Times New Roman" w:cs="Times New Roman"/>
          <w:sz w:val="24"/>
          <w:szCs w:val="24"/>
        </w:rPr>
      </w:pPr>
      <w:r w:rsidRPr="002A7FEF">
        <w:rPr>
          <w:rFonts w:ascii="Times New Roman" w:hAnsi="Times New Roman" w:cs="Times New Roman"/>
          <w:sz w:val="24"/>
          <w:szCs w:val="24"/>
        </w:rPr>
        <w:t>Có hệ thống quản trị doanh nghiệp tin cậy.</w:t>
      </w:r>
    </w:p>
    <w:p w:rsidR="00AA2CB5" w:rsidRPr="002A7FEF" w:rsidRDefault="00AA2CB5" w:rsidP="004352B7">
      <w:pPr>
        <w:pStyle w:val="ListParagraph"/>
        <w:tabs>
          <w:tab w:val="left" w:pos="270"/>
          <w:tab w:val="left" w:pos="1134"/>
        </w:tabs>
        <w:spacing w:before="120" w:after="120" w:line="300" w:lineRule="auto"/>
        <w:ind w:left="0"/>
        <w:contextualSpacing w:val="0"/>
        <w:jc w:val="both"/>
        <w:rPr>
          <w:rFonts w:ascii="Times New Roman" w:hAnsi="Times New Roman"/>
          <w:sz w:val="24"/>
          <w:szCs w:val="24"/>
        </w:rPr>
      </w:pPr>
      <w:r w:rsidRPr="002A7FEF">
        <w:rPr>
          <w:rFonts w:ascii="Times New Roman" w:hAnsi="Times New Roman"/>
          <w:sz w:val="24"/>
          <w:szCs w:val="24"/>
        </w:rPr>
        <w:t>Lĩnh vực đầu tư chính của Quỹ DFVN-CAF tập trung vào cổ phiếu niêm yết trên các Sở Giao dịch Chứng khoán</w:t>
      </w:r>
    </w:p>
    <w:p w:rsidR="00100534" w:rsidRPr="002A7FEF" w:rsidRDefault="00100534" w:rsidP="004352B7">
      <w:pPr>
        <w:pStyle w:val="ListParagraph"/>
        <w:tabs>
          <w:tab w:val="left" w:pos="270"/>
          <w:tab w:val="left" w:pos="1134"/>
        </w:tabs>
        <w:spacing w:before="120" w:after="120" w:line="300" w:lineRule="auto"/>
        <w:ind w:left="0"/>
        <w:contextualSpacing w:val="0"/>
        <w:jc w:val="both"/>
        <w:rPr>
          <w:rFonts w:ascii="Times New Roman" w:hAnsi="Times New Roman"/>
          <w:sz w:val="24"/>
          <w:szCs w:val="24"/>
        </w:rPr>
      </w:pPr>
      <w:r w:rsidRPr="002A7FEF">
        <w:rPr>
          <w:rFonts w:ascii="Times New Roman" w:hAnsi="Times New Roman"/>
          <w:sz w:val="24"/>
          <w:szCs w:val="24"/>
        </w:rPr>
        <w:t xml:space="preserve">f) Mô tả sự khác biệt về cơ cấu danh mục đầu tư của </w:t>
      </w:r>
      <w:r w:rsidR="00BC38CC">
        <w:rPr>
          <w:rFonts w:ascii="Times New Roman" w:hAnsi="Times New Roman"/>
          <w:sz w:val="24"/>
          <w:szCs w:val="24"/>
        </w:rPr>
        <w:t>Q</w:t>
      </w:r>
      <w:r w:rsidRPr="002A7FEF">
        <w:rPr>
          <w:rFonts w:ascii="Times New Roman" w:hAnsi="Times New Roman"/>
          <w:sz w:val="24"/>
          <w:szCs w:val="24"/>
        </w:rPr>
        <w:t xml:space="preserve">uỹ tại thời điểm báo cáo, so với danh mục đầu tư của </w:t>
      </w:r>
      <w:r w:rsidR="00BC38CC">
        <w:rPr>
          <w:rFonts w:ascii="Times New Roman" w:hAnsi="Times New Roman"/>
          <w:sz w:val="24"/>
          <w:szCs w:val="24"/>
        </w:rPr>
        <w:t>Q</w:t>
      </w:r>
      <w:r w:rsidRPr="002A7FEF">
        <w:rPr>
          <w:rFonts w:ascii="Times New Roman" w:hAnsi="Times New Roman"/>
          <w:sz w:val="24"/>
          <w:szCs w:val="24"/>
        </w:rPr>
        <w:t>uỹ năm liền kề năm báo cáo</w:t>
      </w:r>
      <w:r w:rsidR="003A0280" w:rsidRPr="002A7FEF">
        <w:rPr>
          <w:rFonts w:ascii="Times New Roman" w:hAnsi="Times New Roman"/>
          <w:sz w:val="24"/>
          <w:szCs w:val="24"/>
        </w:rPr>
        <w:t xml:space="preserve">: </w:t>
      </w:r>
      <w:r w:rsidR="003A0280" w:rsidRPr="002A7FEF">
        <w:rPr>
          <w:rFonts w:ascii="Times New Roman" w:hAnsi="Times New Roman"/>
          <w:i/>
          <w:sz w:val="24"/>
          <w:szCs w:val="24"/>
        </w:rPr>
        <w:t>không áp dụng do Quỹ mới thành lập và đi vào hoạt động từ ngày 03/01/2019</w:t>
      </w:r>
    </w:p>
    <w:p w:rsidR="00100534" w:rsidRPr="002A7FEF" w:rsidRDefault="00100534" w:rsidP="004352B7">
      <w:pPr>
        <w:pStyle w:val="ListParagraph"/>
        <w:tabs>
          <w:tab w:val="left" w:pos="270"/>
          <w:tab w:val="left" w:pos="1134"/>
        </w:tabs>
        <w:spacing w:before="120" w:after="120" w:line="300" w:lineRule="auto"/>
        <w:ind w:left="0"/>
        <w:contextualSpacing w:val="0"/>
        <w:jc w:val="both"/>
        <w:rPr>
          <w:rFonts w:ascii="Times New Roman" w:hAnsi="Times New Roman"/>
          <w:sz w:val="24"/>
          <w:szCs w:val="24"/>
        </w:rPr>
      </w:pPr>
      <w:r w:rsidRPr="002A7FEF">
        <w:rPr>
          <w:rFonts w:ascii="Times New Roman" w:hAnsi="Times New Roman"/>
          <w:sz w:val="24"/>
          <w:szCs w:val="24"/>
        </w:rPr>
        <w:t xml:space="preserve">g) Phân tích kết quả hoạt động của </w:t>
      </w:r>
      <w:r w:rsidR="00BC38CC">
        <w:rPr>
          <w:rFonts w:ascii="Times New Roman" w:hAnsi="Times New Roman"/>
          <w:sz w:val="24"/>
          <w:szCs w:val="24"/>
        </w:rPr>
        <w:t>Q</w:t>
      </w:r>
      <w:r w:rsidRPr="002A7FEF">
        <w:rPr>
          <w:rFonts w:ascii="Times New Roman" w:hAnsi="Times New Roman"/>
          <w:sz w:val="24"/>
          <w:szCs w:val="24"/>
        </w:rPr>
        <w:t xml:space="preserve">uỹ dựa trên việc so sánh giá trị tài sản ròng trên một đơn vị </w:t>
      </w:r>
      <w:r w:rsidR="00BC38CC">
        <w:rPr>
          <w:rFonts w:ascii="Times New Roman" w:hAnsi="Times New Roman"/>
          <w:sz w:val="24"/>
          <w:szCs w:val="24"/>
        </w:rPr>
        <w:t>Q</w:t>
      </w:r>
      <w:r w:rsidRPr="002A7FEF">
        <w:rPr>
          <w:rFonts w:ascii="Times New Roman" w:hAnsi="Times New Roman"/>
          <w:sz w:val="24"/>
          <w:szCs w:val="24"/>
        </w:rPr>
        <w:t>uỹ (sau khi đã điều chỉnh phần lợi nhuận đã phân phối, nếu có) tại kỳ báo cáo này tại kỳ báo cáo gần nhất</w:t>
      </w:r>
      <w:r w:rsidR="003A0280" w:rsidRPr="002A7FEF">
        <w:rPr>
          <w:rFonts w:ascii="Times New Roman" w:hAnsi="Times New Roman"/>
          <w:sz w:val="24"/>
          <w:szCs w:val="24"/>
        </w:rPr>
        <w:t xml:space="preserve">: </w:t>
      </w:r>
      <w:r w:rsidR="003A0280" w:rsidRPr="002A7FEF">
        <w:rPr>
          <w:rFonts w:ascii="Times New Roman" w:hAnsi="Times New Roman"/>
          <w:i/>
          <w:sz w:val="24"/>
          <w:szCs w:val="24"/>
        </w:rPr>
        <w:t>không áp dụng do Quỹ mới thành lập và đi vào hoạt động từ ngày 03/01/2019</w:t>
      </w:r>
    </w:p>
    <w:p w:rsidR="00100534" w:rsidRPr="004F236F" w:rsidRDefault="00100534" w:rsidP="004352B7">
      <w:pPr>
        <w:pStyle w:val="ListParagraph"/>
        <w:tabs>
          <w:tab w:val="left" w:pos="270"/>
          <w:tab w:val="left" w:pos="1134"/>
        </w:tabs>
        <w:spacing w:before="120" w:after="120" w:line="300" w:lineRule="auto"/>
        <w:ind w:left="0"/>
        <w:contextualSpacing w:val="0"/>
        <w:jc w:val="both"/>
        <w:rPr>
          <w:rFonts w:ascii="Times New Roman" w:hAnsi="Times New Roman"/>
          <w:sz w:val="24"/>
          <w:szCs w:val="24"/>
        </w:rPr>
      </w:pPr>
      <w:r w:rsidRPr="002A7FEF">
        <w:rPr>
          <w:rFonts w:ascii="Times New Roman" w:hAnsi="Times New Roman"/>
          <w:sz w:val="24"/>
          <w:szCs w:val="24"/>
        </w:rPr>
        <w:t>h</w:t>
      </w:r>
      <w:r w:rsidRPr="004F236F">
        <w:rPr>
          <w:rFonts w:ascii="Times New Roman" w:hAnsi="Times New Roman"/>
          <w:sz w:val="24"/>
          <w:szCs w:val="24"/>
        </w:rPr>
        <w:t xml:space="preserve">) Đánh giá biến động của các thị trường trong kỳ báo cáo, kể cả thị trường nước ngoài, mà </w:t>
      </w:r>
      <w:r w:rsidR="00BC38CC" w:rsidRPr="004F236F">
        <w:rPr>
          <w:rFonts w:ascii="Times New Roman" w:hAnsi="Times New Roman"/>
          <w:sz w:val="24"/>
          <w:szCs w:val="24"/>
        </w:rPr>
        <w:t>Q</w:t>
      </w:r>
      <w:r w:rsidRPr="004F236F">
        <w:rPr>
          <w:rFonts w:ascii="Times New Roman" w:hAnsi="Times New Roman"/>
          <w:sz w:val="24"/>
          <w:szCs w:val="24"/>
        </w:rPr>
        <w:t>uỹ đầu tư vào, thông tin về lợi nhuận đầu tư đối với từng loại tài sản: cổ phiếu, cổ phiếu blue-chip, cổ phiếu các công ty có mức vốn hóa thấp (small- ca</w:t>
      </w:r>
      <w:r w:rsidR="00BC38CC" w:rsidRPr="004F236F">
        <w:rPr>
          <w:rFonts w:ascii="Times New Roman" w:hAnsi="Times New Roman"/>
          <w:sz w:val="24"/>
          <w:szCs w:val="24"/>
        </w:rPr>
        <w:t>p)</w:t>
      </w:r>
      <w:r w:rsidR="004F236F">
        <w:rPr>
          <w:rFonts w:ascii="Times New Roman" w:hAnsi="Times New Roman"/>
          <w:sz w:val="24"/>
          <w:szCs w:val="24"/>
        </w:rPr>
        <w:t>;</w:t>
      </w:r>
    </w:p>
    <w:p w:rsidR="00AA2CB5" w:rsidRPr="002A7FEF" w:rsidRDefault="00AC06E2" w:rsidP="004352B7">
      <w:pPr>
        <w:pStyle w:val="ListParagraph"/>
        <w:tabs>
          <w:tab w:val="left" w:pos="270"/>
          <w:tab w:val="left" w:pos="1134"/>
        </w:tabs>
        <w:spacing w:before="120" w:after="120" w:line="300" w:lineRule="auto"/>
        <w:ind w:left="0"/>
        <w:contextualSpacing w:val="0"/>
        <w:jc w:val="both"/>
        <w:rPr>
          <w:rFonts w:ascii="Times New Roman" w:hAnsi="Times New Roman"/>
          <w:sz w:val="24"/>
          <w:szCs w:val="24"/>
        </w:rPr>
      </w:pPr>
      <w:r w:rsidRPr="002A7FEF">
        <w:rPr>
          <w:rFonts w:ascii="Times New Roman" w:hAnsi="Times New Roman"/>
          <w:sz w:val="24"/>
          <w:szCs w:val="24"/>
        </w:rPr>
        <w:t xml:space="preserve">Quỹ tập trung đầu tư vào cổ phiếu niêm yết trên các Sở Giao dịch Chứng khoán, đầu tư chủ yếu vào cổ phiếu các công ty niêm yết có giá trị vốn hóa thị trường lớn, thanh khoản cao của những doanh nghiệp dẫn đầu ngành, có nhiều lợi thế cạnh tranh, có tiềm năng tăng trưởng dài hạn, năng lực quản trị tốt minh bạch, tiềm lực tài chính tốt và có khả năng sinh lời vượt trội. Đồng thời, Quỹ cũng sẽ phân bổ một phần tài sản vào cổ phiếu các công ty niêm yết có giá trị vốn hóa và thanh khoản mặc dù không cao nhưng định giá tốt và có tiềm năng tăng trưởng rõ rệt trong tương lai. </w:t>
      </w:r>
    </w:p>
    <w:p w:rsidR="00AC06E2" w:rsidRPr="002A7FEF" w:rsidRDefault="00AC06E2" w:rsidP="004352B7">
      <w:pPr>
        <w:pStyle w:val="ListParagraph"/>
        <w:tabs>
          <w:tab w:val="left" w:pos="270"/>
          <w:tab w:val="left" w:pos="1134"/>
        </w:tabs>
        <w:spacing w:before="120" w:after="120" w:line="300" w:lineRule="auto"/>
        <w:ind w:left="0"/>
        <w:contextualSpacing w:val="0"/>
        <w:jc w:val="both"/>
        <w:rPr>
          <w:rFonts w:ascii="Times New Roman" w:hAnsi="Times New Roman"/>
          <w:sz w:val="24"/>
          <w:szCs w:val="24"/>
        </w:rPr>
      </w:pPr>
      <w:r w:rsidRPr="002A7FEF">
        <w:rPr>
          <w:rFonts w:ascii="Times New Roman" w:hAnsi="Times New Roman"/>
          <w:sz w:val="24"/>
          <w:szCs w:val="24"/>
        </w:rPr>
        <w:t>Biểu đồ bên dưới thể hiện diễn biến chỉ số VN-index (dây màu xanh) và giá trị giao dịch (cột màu đỏ)</w:t>
      </w:r>
    </w:p>
    <w:p w:rsidR="00AC06E2" w:rsidRPr="002A7FEF" w:rsidRDefault="00AC06E2" w:rsidP="00100534">
      <w:pPr>
        <w:pStyle w:val="ListParagraph"/>
        <w:tabs>
          <w:tab w:val="left" w:pos="270"/>
          <w:tab w:val="left" w:pos="1134"/>
        </w:tabs>
        <w:spacing w:after="0" w:line="300" w:lineRule="auto"/>
        <w:ind w:left="0"/>
        <w:jc w:val="both"/>
        <w:rPr>
          <w:rFonts w:ascii="Times New Roman" w:hAnsi="Times New Roman"/>
          <w:sz w:val="24"/>
          <w:szCs w:val="24"/>
        </w:rPr>
      </w:pPr>
      <w:r w:rsidRPr="002A7FEF">
        <w:rPr>
          <w:rFonts w:ascii="Times New Roman" w:hAnsi="Times New Roman"/>
          <w:noProof/>
          <w:sz w:val="24"/>
          <w:szCs w:val="24"/>
        </w:rPr>
        <w:lastRenderedPageBreak/>
        <w:drawing>
          <wp:inline distT="0" distB="0" distL="0" distR="0" wp14:anchorId="535B8783" wp14:editId="796A8ED1">
            <wp:extent cx="5943600" cy="3799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799205"/>
                    </a:xfrm>
                    <a:prstGeom prst="rect">
                      <a:avLst/>
                    </a:prstGeom>
                    <a:noFill/>
                    <a:ln>
                      <a:noFill/>
                    </a:ln>
                  </pic:spPr>
                </pic:pic>
              </a:graphicData>
            </a:graphic>
          </wp:inline>
        </w:drawing>
      </w:r>
    </w:p>
    <w:p w:rsidR="00AC06E2" w:rsidRPr="002A7FEF" w:rsidRDefault="00AC06E2" w:rsidP="004352B7">
      <w:pPr>
        <w:shd w:val="clear" w:color="auto" w:fill="FFFFFF"/>
        <w:tabs>
          <w:tab w:val="left" w:pos="540"/>
        </w:tabs>
        <w:spacing w:before="120" w:after="120" w:line="240" w:lineRule="auto"/>
        <w:jc w:val="both"/>
        <w:rPr>
          <w:rFonts w:ascii="Times New Roman" w:hAnsi="Times New Roman"/>
          <w:sz w:val="24"/>
          <w:szCs w:val="24"/>
        </w:rPr>
      </w:pPr>
      <w:r w:rsidRPr="002A7FEF">
        <w:rPr>
          <w:rFonts w:ascii="Times New Roman" w:hAnsi="Times New Roman"/>
          <w:sz w:val="24"/>
          <w:szCs w:val="24"/>
        </w:rPr>
        <w:t>Theo đánh giá của nhiều chuyên gia kinh tế và đầu tư cả trong và ngoài nước, Thị trường Chứng khoán Việt Nam vẫn là một kênh đầu tư hấp dẫn cho các Nhà đầu tư nước ngoài và trở thành một nguồn cung cấp tài chính thực sự cho nền kinh tế. Nhiều đánh giá cho thấy Thị trường đã trở nên hấp dẫn sau đợt điều chỉnh so với mức đỉnh 1.200 điểm lập được đầu năm 2018 cùng với dấu hiệu hồi phục đầu năm 2019, một số điểm chính giúp củng cố xu hướng tăng điểm cho Thị trường Chứng khoán như sau:</w:t>
      </w:r>
    </w:p>
    <w:p w:rsidR="00AC06E2" w:rsidRPr="002E7553" w:rsidRDefault="00AC06E2" w:rsidP="004352B7">
      <w:pPr>
        <w:pStyle w:val="ListParagraph"/>
        <w:widowControl w:val="0"/>
        <w:numPr>
          <w:ilvl w:val="0"/>
          <w:numId w:val="20"/>
        </w:numPr>
        <w:spacing w:before="120" w:after="120" w:line="288" w:lineRule="auto"/>
        <w:contextualSpacing w:val="0"/>
        <w:jc w:val="both"/>
        <w:rPr>
          <w:rFonts w:ascii="Times New Roman" w:hAnsi="Times New Roman"/>
          <w:sz w:val="24"/>
          <w:szCs w:val="24"/>
        </w:rPr>
      </w:pPr>
      <w:r w:rsidRPr="002E7553">
        <w:rPr>
          <w:rFonts w:ascii="Times New Roman" w:hAnsi="Times New Roman"/>
          <w:sz w:val="24"/>
          <w:szCs w:val="24"/>
        </w:rPr>
        <w:t>Với môi trường kinh tế vĩ mô: Việt Nam được đánh giá phát triển ổn định thể hiện qua các tiêu chí như tăng trưởng GDP, tín dụng, lãi suất, lạm phát, tỷ giá, tình hình thu hút FDI, chỉ số PMI... như đã phân tích ở trên. Như vậy, nền kinh tế Việt Nam đang tiếp tục bước vào giai đoạn phát triển với một chu kỳ phát triển kinh tế mới.</w:t>
      </w:r>
    </w:p>
    <w:p w:rsidR="00AC06E2" w:rsidRPr="002E7553" w:rsidRDefault="00AC06E2" w:rsidP="004352B7">
      <w:pPr>
        <w:pStyle w:val="ListParagraph"/>
        <w:widowControl w:val="0"/>
        <w:numPr>
          <w:ilvl w:val="0"/>
          <w:numId w:val="20"/>
        </w:numPr>
        <w:spacing w:before="120" w:after="120" w:line="288" w:lineRule="auto"/>
        <w:contextualSpacing w:val="0"/>
        <w:jc w:val="both"/>
        <w:rPr>
          <w:rFonts w:ascii="Times New Roman" w:hAnsi="Times New Roman"/>
          <w:sz w:val="24"/>
          <w:szCs w:val="24"/>
        </w:rPr>
      </w:pPr>
      <w:r w:rsidRPr="002E7553">
        <w:rPr>
          <w:rFonts w:ascii="Times New Roman" w:hAnsi="Times New Roman"/>
          <w:sz w:val="24"/>
          <w:szCs w:val="24"/>
        </w:rPr>
        <w:t xml:space="preserve">Về đánh giá Thị trường Chứng khoán: với định giá hợp lý và mức sinh lời hấp dẫn hơn so với các thị trường trong khu vực (mức giá trên thu nhập cổ phiếu PER hợp lý trong khi mức sinh lời trên vốn chủ sở hữu ROE, ROA khá cao). Điều này đã được chứng minh một phần qua mức độ tăng trưởng mạnh mẽ của Thị trường Chứng khoán thể hiện qua các chỉ số như giá trị mua ròng mạnh mẽ của Nhà đầu tư nước ngoài vào cổ phiếu niêm yết. </w:t>
      </w:r>
    </w:p>
    <w:p w:rsidR="00AC06E2" w:rsidRPr="002A7FEF" w:rsidRDefault="00AC06E2" w:rsidP="004352B7">
      <w:pPr>
        <w:widowControl w:val="0"/>
        <w:spacing w:before="120" w:after="120" w:line="288" w:lineRule="auto"/>
        <w:jc w:val="both"/>
        <w:rPr>
          <w:rFonts w:ascii="Times New Roman" w:hAnsi="Times New Roman"/>
          <w:sz w:val="24"/>
          <w:szCs w:val="24"/>
        </w:rPr>
      </w:pPr>
      <w:r w:rsidRPr="002A7FEF">
        <w:rPr>
          <w:rFonts w:ascii="Times New Roman" w:hAnsi="Times New Roman"/>
          <w:sz w:val="24"/>
          <w:szCs w:val="24"/>
        </w:rPr>
        <w:t xml:space="preserve">Ngoài ra, các yếu tố mang tính sự kiện, xúc tác tạo động lực tăng trưởng cho Thị trường Chứng khoán như (i) việc nới room cho Nhà đầu tư nước ngoài; (ii) thúc đẩy cổ phần hóa và niêm yết Doanh nghiệp Nhà nước; (iii) triển vọng nâng hạng Thị trường Việt Nam (MSCI Emerging Market); (iv) tích cực đẩy mạnh tham gia các hiệp định thương mại tự do (FTAs). Bên cạnh đó, những rủi ro tiềm ẩn cần lưu ý bao gồm chiến tranh thương mại đang diễn ra hết sức phức tạp giữa </w:t>
      </w:r>
      <w:r w:rsidRPr="002A7FEF">
        <w:rPr>
          <w:rFonts w:ascii="Times New Roman" w:hAnsi="Times New Roman"/>
          <w:sz w:val="24"/>
          <w:szCs w:val="24"/>
        </w:rPr>
        <w:lastRenderedPageBreak/>
        <w:t xml:space="preserve">Mỹ - Trung – và các nước khác, tình hình Trung Quốc tiếp tục suy giảm sâu bao gồm việc phá giá mạnh đồng Nhân dân tệ, bất ổn trên phương diện chính trị - kinh tế ở các nước Mỹ, Ý, và khu vực Châu Âu tác động tiêu cực, ảnh hưởng đến sự ổn định của đồng tiền VNĐ cũng như khả năng gây ra những biến động khó lường của dòng vốn đầu tư gián tiếp của nước ngoài vào Thị trường Chứng khoán Việt Nam. </w:t>
      </w:r>
    </w:p>
    <w:p w:rsidR="00AC06E2" w:rsidRPr="002A7FEF" w:rsidRDefault="00AC06E2" w:rsidP="004352B7">
      <w:pPr>
        <w:pStyle w:val="ListParagraph"/>
        <w:tabs>
          <w:tab w:val="left" w:pos="270"/>
          <w:tab w:val="left" w:pos="1134"/>
        </w:tabs>
        <w:spacing w:before="120" w:after="120" w:line="300" w:lineRule="auto"/>
        <w:ind w:left="0"/>
        <w:contextualSpacing w:val="0"/>
        <w:jc w:val="both"/>
        <w:rPr>
          <w:rFonts w:ascii="Times New Roman" w:hAnsi="Times New Roman"/>
          <w:sz w:val="24"/>
          <w:szCs w:val="24"/>
        </w:rPr>
      </w:pPr>
      <w:r w:rsidRPr="002A7FEF">
        <w:rPr>
          <w:rFonts w:ascii="Times New Roman" w:hAnsi="Times New Roman"/>
          <w:sz w:val="24"/>
          <w:szCs w:val="24"/>
        </w:rPr>
        <w:t>Như vậy, với các yếu tố cơ bản về giá trị kết hợp với các yếu tố định tính như phân tích ở trên cho thấy Thị trường Chứng khoán Việt Nam trong thời gian sắp tới vẫn sẽ có một kịch bản sáng sủa hơn cùng với kỳ vọng tiếp tục khởi sắc dần của nền kinh tế, tạo tiền đề cho sự phát triển lâu dài trong những năm tiếp theo.</w:t>
      </w:r>
    </w:p>
    <w:p w:rsidR="00100534" w:rsidRPr="002A7FEF" w:rsidRDefault="00100534" w:rsidP="004352B7">
      <w:pPr>
        <w:pStyle w:val="ListParagraph"/>
        <w:tabs>
          <w:tab w:val="left" w:pos="270"/>
          <w:tab w:val="left" w:pos="1134"/>
        </w:tabs>
        <w:spacing w:before="120" w:after="120" w:line="300" w:lineRule="auto"/>
        <w:ind w:left="0"/>
        <w:contextualSpacing w:val="0"/>
        <w:jc w:val="both"/>
        <w:rPr>
          <w:rFonts w:ascii="Times New Roman" w:hAnsi="Times New Roman"/>
          <w:b/>
          <w:sz w:val="24"/>
          <w:szCs w:val="24"/>
          <w:lang w:val="nl-NL"/>
        </w:rPr>
      </w:pPr>
      <w:r w:rsidRPr="002A7FEF">
        <w:rPr>
          <w:rFonts w:ascii="Times New Roman" w:hAnsi="Times New Roman"/>
          <w:sz w:val="24"/>
          <w:szCs w:val="24"/>
        </w:rPr>
        <w:t xml:space="preserve">i) </w:t>
      </w:r>
      <w:r w:rsidRPr="002A7FEF">
        <w:rPr>
          <w:rFonts w:ascii="Times New Roman" w:hAnsi="Times New Roman"/>
          <w:sz w:val="24"/>
          <w:szCs w:val="24"/>
          <w:lang w:val="nl-NL"/>
        </w:rPr>
        <w:t xml:space="preserve">Thông tin về việc chia, tách đơn vị </w:t>
      </w:r>
      <w:r w:rsidR="00BC38CC">
        <w:rPr>
          <w:rFonts w:ascii="Times New Roman" w:hAnsi="Times New Roman"/>
          <w:sz w:val="24"/>
          <w:szCs w:val="24"/>
          <w:lang w:val="nl-NL"/>
        </w:rPr>
        <w:t>q</w:t>
      </w:r>
      <w:r w:rsidRPr="002A7FEF">
        <w:rPr>
          <w:rFonts w:ascii="Times New Roman" w:hAnsi="Times New Roman"/>
          <w:sz w:val="24"/>
          <w:szCs w:val="24"/>
          <w:lang w:val="nl-NL"/>
        </w:rPr>
        <w:t xml:space="preserve">uỹ trong kỳ (nếu có); ảnh hưởng của việc chia tách đơn vị </w:t>
      </w:r>
      <w:r w:rsidR="00BC38CC">
        <w:rPr>
          <w:rFonts w:ascii="Times New Roman" w:hAnsi="Times New Roman"/>
          <w:sz w:val="24"/>
          <w:szCs w:val="24"/>
          <w:lang w:val="nl-NL"/>
        </w:rPr>
        <w:t>q</w:t>
      </w:r>
      <w:r w:rsidRPr="002A7FEF">
        <w:rPr>
          <w:rFonts w:ascii="Times New Roman" w:hAnsi="Times New Roman"/>
          <w:sz w:val="24"/>
          <w:szCs w:val="24"/>
          <w:lang w:val="nl-NL"/>
        </w:rPr>
        <w:t xml:space="preserve">uỹ và giá trị tài sản ròng trên từng đơn vị </w:t>
      </w:r>
      <w:r w:rsidR="00BC38CC">
        <w:rPr>
          <w:rFonts w:ascii="Times New Roman" w:hAnsi="Times New Roman"/>
          <w:sz w:val="24"/>
          <w:szCs w:val="24"/>
          <w:lang w:val="nl-NL"/>
        </w:rPr>
        <w:t>q</w:t>
      </w:r>
      <w:r w:rsidRPr="002A7FEF">
        <w:rPr>
          <w:rFonts w:ascii="Times New Roman" w:hAnsi="Times New Roman"/>
          <w:sz w:val="24"/>
          <w:szCs w:val="24"/>
          <w:lang w:val="nl-NL"/>
        </w:rPr>
        <w:t>uỹ (trước và sau khi chia, tách)</w:t>
      </w:r>
      <w:r w:rsidR="003A0280" w:rsidRPr="002A7FEF">
        <w:rPr>
          <w:rFonts w:ascii="Times New Roman" w:hAnsi="Times New Roman"/>
          <w:sz w:val="24"/>
          <w:szCs w:val="24"/>
          <w:lang w:val="nl-NL"/>
        </w:rPr>
        <w:t xml:space="preserve">: </w:t>
      </w:r>
      <w:r w:rsidR="003A0280" w:rsidRPr="002A7FEF">
        <w:rPr>
          <w:rFonts w:ascii="Times New Roman" w:hAnsi="Times New Roman"/>
          <w:i/>
          <w:sz w:val="24"/>
          <w:szCs w:val="24"/>
          <w:lang w:val="nl-NL"/>
        </w:rPr>
        <w:t>Quỹ không thực hiện chia tách đơn vị quỹ trong kỳ</w:t>
      </w:r>
    </w:p>
    <w:p w:rsidR="00100534" w:rsidRPr="004F236F" w:rsidRDefault="00100534" w:rsidP="004352B7">
      <w:pPr>
        <w:pStyle w:val="ListParagraph"/>
        <w:tabs>
          <w:tab w:val="left" w:pos="270"/>
          <w:tab w:val="left" w:pos="1134"/>
        </w:tabs>
        <w:spacing w:before="120" w:after="120" w:line="300" w:lineRule="auto"/>
        <w:ind w:left="0"/>
        <w:contextualSpacing w:val="0"/>
        <w:jc w:val="both"/>
        <w:rPr>
          <w:rFonts w:ascii="Times New Roman" w:hAnsi="Times New Roman"/>
          <w:sz w:val="24"/>
          <w:szCs w:val="24"/>
          <w:lang w:val="nl-NL"/>
        </w:rPr>
      </w:pPr>
      <w:r w:rsidRPr="004F236F">
        <w:rPr>
          <w:rFonts w:ascii="Times New Roman" w:hAnsi="Times New Roman"/>
          <w:sz w:val="24"/>
          <w:szCs w:val="24"/>
          <w:lang w:val="nl-NL"/>
        </w:rPr>
        <w:t>k) Các trường hợp có ảnh hưởng tới quyền lợi của nhà đầu tư nắm giữ chứng chỉ quỹ</w:t>
      </w:r>
      <w:r w:rsidR="00B27B45" w:rsidRPr="004F236F">
        <w:rPr>
          <w:rFonts w:ascii="Times New Roman" w:hAnsi="Times New Roman"/>
          <w:sz w:val="24"/>
          <w:szCs w:val="24"/>
          <w:lang w:val="nl-NL"/>
        </w:rPr>
        <w:t>:</w:t>
      </w:r>
    </w:p>
    <w:p w:rsidR="00B27B45" w:rsidRPr="004F236F" w:rsidRDefault="00B27B45" w:rsidP="004352B7">
      <w:pPr>
        <w:pStyle w:val="ListParagraph"/>
        <w:tabs>
          <w:tab w:val="left" w:pos="270"/>
          <w:tab w:val="left" w:pos="1134"/>
        </w:tabs>
        <w:spacing w:before="120" w:after="120" w:line="300" w:lineRule="auto"/>
        <w:ind w:left="0"/>
        <w:contextualSpacing w:val="0"/>
        <w:jc w:val="both"/>
        <w:rPr>
          <w:rFonts w:ascii="Times New Roman" w:hAnsi="Times New Roman"/>
          <w:sz w:val="24"/>
          <w:szCs w:val="24"/>
          <w:lang w:val="nl-NL"/>
        </w:rPr>
      </w:pPr>
      <w:r w:rsidRPr="004F236F">
        <w:rPr>
          <w:rFonts w:ascii="Times New Roman" w:hAnsi="Times New Roman"/>
          <w:sz w:val="24"/>
          <w:szCs w:val="24"/>
          <w:lang w:val="nl-NL"/>
        </w:rPr>
        <w:t>Quyền lợi của Nhà đầu tư nắm giữ chứng chỉ quỹ như theo quy định tại Điều lệ quỹ và Bản Cáo bạch.</w:t>
      </w:r>
    </w:p>
    <w:p w:rsidR="00100534" w:rsidRPr="004F236F" w:rsidRDefault="00100534" w:rsidP="004352B7">
      <w:pPr>
        <w:pStyle w:val="ListParagraph"/>
        <w:tabs>
          <w:tab w:val="left" w:pos="270"/>
          <w:tab w:val="left" w:pos="1134"/>
        </w:tabs>
        <w:spacing w:before="120" w:after="120" w:line="300" w:lineRule="auto"/>
        <w:ind w:left="0"/>
        <w:contextualSpacing w:val="0"/>
        <w:jc w:val="both"/>
        <w:rPr>
          <w:rFonts w:ascii="Times New Roman" w:hAnsi="Times New Roman"/>
          <w:sz w:val="24"/>
          <w:szCs w:val="24"/>
          <w:lang w:val="nl-NL"/>
        </w:rPr>
      </w:pPr>
      <w:r w:rsidRPr="004F236F">
        <w:rPr>
          <w:rFonts w:ascii="Times New Roman" w:hAnsi="Times New Roman"/>
          <w:sz w:val="24"/>
          <w:szCs w:val="24"/>
          <w:lang w:val="nl-NL"/>
        </w:rPr>
        <w:t>l) Thông tin về các giao dịch với người có quyền lợi liên quan</w:t>
      </w:r>
      <w:r w:rsidR="00B27B45" w:rsidRPr="004F236F">
        <w:rPr>
          <w:rFonts w:ascii="Times New Roman" w:hAnsi="Times New Roman"/>
          <w:sz w:val="24"/>
          <w:szCs w:val="24"/>
          <w:lang w:val="nl-NL"/>
        </w:rPr>
        <w:t>:</w:t>
      </w:r>
      <w:r w:rsidRPr="004F236F">
        <w:rPr>
          <w:rFonts w:ascii="Times New Roman" w:hAnsi="Times New Roman"/>
          <w:sz w:val="24"/>
          <w:szCs w:val="24"/>
          <w:lang w:val="nl-NL"/>
        </w:rPr>
        <w:t xml:space="preserve"> </w:t>
      </w:r>
    </w:p>
    <w:p w:rsidR="00B27B45" w:rsidRPr="002A7FEF" w:rsidRDefault="00B27B45" w:rsidP="004352B7">
      <w:pPr>
        <w:pStyle w:val="ListParagraph"/>
        <w:tabs>
          <w:tab w:val="left" w:pos="270"/>
          <w:tab w:val="left" w:pos="1134"/>
        </w:tabs>
        <w:spacing w:before="120" w:after="120" w:line="300" w:lineRule="auto"/>
        <w:ind w:left="0"/>
        <w:contextualSpacing w:val="0"/>
        <w:jc w:val="both"/>
        <w:rPr>
          <w:rFonts w:ascii="Times New Roman" w:hAnsi="Times New Roman"/>
          <w:sz w:val="24"/>
          <w:szCs w:val="24"/>
          <w:lang w:val="nl-NL"/>
        </w:rPr>
      </w:pPr>
      <w:r w:rsidRPr="004F236F">
        <w:rPr>
          <w:rFonts w:ascii="Times New Roman" w:hAnsi="Times New Roman"/>
          <w:sz w:val="24"/>
          <w:szCs w:val="24"/>
          <w:lang w:val="nl-NL"/>
        </w:rPr>
        <w:t xml:space="preserve">Quỹ </w:t>
      </w:r>
      <w:r w:rsidR="00E265CF" w:rsidRPr="004F236F">
        <w:rPr>
          <w:rFonts w:ascii="Times New Roman" w:hAnsi="Times New Roman"/>
          <w:sz w:val="24"/>
          <w:szCs w:val="24"/>
          <w:lang w:val="nl-NL"/>
        </w:rPr>
        <w:t xml:space="preserve">không có thực hiện </w:t>
      </w:r>
      <w:r w:rsidR="00E20EFB" w:rsidRPr="004F236F">
        <w:rPr>
          <w:rFonts w:ascii="Times New Roman" w:hAnsi="Times New Roman"/>
          <w:sz w:val="24"/>
          <w:szCs w:val="24"/>
          <w:lang w:val="nl-NL"/>
        </w:rPr>
        <w:t xml:space="preserve">hoạt động đầu tư, </w:t>
      </w:r>
      <w:r w:rsidR="00E265CF" w:rsidRPr="004F236F">
        <w:rPr>
          <w:rFonts w:ascii="Times New Roman" w:hAnsi="Times New Roman"/>
          <w:sz w:val="24"/>
          <w:szCs w:val="24"/>
          <w:lang w:val="nl-NL"/>
        </w:rPr>
        <w:t>giao dịch tài sản</w:t>
      </w:r>
      <w:r w:rsidR="00E20EFB" w:rsidRPr="004F236F">
        <w:rPr>
          <w:rFonts w:ascii="Times New Roman" w:hAnsi="Times New Roman"/>
          <w:sz w:val="24"/>
          <w:szCs w:val="24"/>
          <w:lang w:val="nl-NL"/>
        </w:rPr>
        <w:t xml:space="preserve"> giữa Quỹ với </w:t>
      </w:r>
      <w:r w:rsidR="00B82976" w:rsidRPr="004F236F">
        <w:rPr>
          <w:rFonts w:ascii="Times New Roman" w:hAnsi="Times New Roman"/>
          <w:sz w:val="24"/>
          <w:szCs w:val="24"/>
          <w:lang w:val="nl-NL"/>
        </w:rPr>
        <w:t>C</w:t>
      </w:r>
      <w:r w:rsidR="00E20EFB" w:rsidRPr="004F236F">
        <w:rPr>
          <w:rFonts w:ascii="Times New Roman" w:hAnsi="Times New Roman"/>
          <w:sz w:val="24"/>
          <w:szCs w:val="24"/>
          <w:lang w:val="nl-NL"/>
        </w:rPr>
        <w:t xml:space="preserve">ông ty </w:t>
      </w:r>
      <w:r w:rsidR="00B82976" w:rsidRPr="004F236F">
        <w:rPr>
          <w:rFonts w:ascii="Times New Roman" w:hAnsi="Times New Roman"/>
          <w:sz w:val="24"/>
          <w:szCs w:val="24"/>
          <w:lang w:val="nl-NL"/>
        </w:rPr>
        <w:t>Q</w:t>
      </w:r>
      <w:r w:rsidR="00E20EFB" w:rsidRPr="004F236F">
        <w:rPr>
          <w:rFonts w:ascii="Times New Roman" w:hAnsi="Times New Roman"/>
          <w:sz w:val="24"/>
          <w:szCs w:val="24"/>
          <w:lang w:val="nl-NL"/>
        </w:rPr>
        <w:t xml:space="preserve">uản lý </w:t>
      </w:r>
      <w:r w:rsidR="00B82976" w:rsidRPr="004F236F">
        <w:rPr>
          <w:rFonts w:ascii="Times New Roman" w:hAnsi="Times New Roman"/>
          <w:sz w:val="24"/>
          <w:szCs w:val="24"/>
          <w:lang w:val="nl-NL"/>
        </w:rPr>
        <w:t>Q</w:t>
      </w:r>
      <w:r w:rsidR="00E20EFB" w:rsidRPr="004F236F">
        <w:rPr>
          <w:rFonts w:ascii="Times New Roman" w:hAnsi="Times New Roman"/>
          <w:sz w:val="24"/>
          <w:szCs w:val="24"/>
          <w:lang w:val="nl-NL"/>
        </w:rPr>
        <w:t>uỹ và người có quyền lợi liên quan; ngoại trừ giao dịch Chứng chỉ Quỹ của người nội bộ và người có liên quan của người nội bộ như đã được công bố thông tin, báo cáo Ủy ban Chứng khoán</w:t>
      </w:r>
      <w:r w:rsidR="00E20EFB" w:rsidRPr="002A7FEF">
        <w:rPr>
          <w:rFonts w:ascii="Times New Roman" w:hAnsi="Times New Roman"/>
          <w:sz w:val="24"/>
          <w:szCs w:val="24"/>
          <w:lang w:val="nl-NL"/>
        </w:rPr>
        <w:t xml:space="preserve"> Nhà nước, các khoản chi phí phù hợp với quy định tại Điều lệ Quỹ, Bản Cáo bạch.   </w:t>
      </w:r>
    </w:p>
    <w:p w:rsidR="003B5D8B" w:rsidRPr="003A38A3" w:rsidRDefault="003B5D8B" w:rsidP="004352B7">
      <w:pPr>
        <w:spacing w:before="120" w:after="120" w:line="360" w:lineRule="auto"/>
        <w:jc w:val="both"/>
        <w:rPr>
          <w:rFonts w:ascii="Times New Roman" w:hAnsi="Times New Roman"/>
          <w:b/>
          <w:color w:val="000000"/>
          <w:sz w:val="24"/>
          <w:szCs w:val="24"/>
        </w:rPr>
      </w:pPr>
      <w:r w:rsidRPr="00AE6D17">
        <w:rPr>
          <w:rFonts w:ascii="Times New Roman" w:hAnsi="Times New Roman"/>
          <w:b/>
          <w:sz w:val="24"/>
          <w:szCs w:val="24"/>
          <w:lang w:val="nl-NL"/>
        </w:rPr>
        <w:t xml:space="preserve">4. </w:t>
      </w:r>
      <w:r w:rsidR="00100534" w:rsidRPr="00AE6D17">
        <w:rPr>
          <w:rFonts w:ascii="Times New Roman" w:hAnsi="Times New Roman"/>
          <w:b/>
          <w:sz w:val="24"/>
          <w:szCs w:val="24"/>
          <w:lang w:val="nl-NL"/>
        </w:rPr>
        <w:t>Báo cáo về hoạt động giám sát của Ngân hàng giám sát</w:t>
      </w:r>
      <w:r w:rsidRPr="00AE6D17">
        <w:rPr>
          <w:rFonts w:ascii="Times New Roman" w:hAnsi="Times New Roman"/>
          <w:b/>
          <w:sz w:val="24"/>
          <w:szCs w:val="24"/>
          <w:lang w:val="nl-NL"/>
        </w:rPr>
        <w:t xml:space="preserve"> </w:t>
      </w:r>
      <w:r w:rsidRPr="00AE6D17">
        <w:rPr>
          <w:rFonts w:ascii="Times New Roman" w:hAnsi="Times New Roman"/>
          <w:b/>
          <w:color w:val="000000"/>
          <w:sz w:val="24"/>
          <w:szCs w:val="24"/>
        </w:rPr>
        <w:t>cho giai</w:t>
      </w:r>
      <w:r w:rsidRPr="003A38A3">
        <w:rPr>
          <w:rFonts w:ascii="Times New Roman" w:hAnsi="Times New Roman"/>
          <w:b/>
          <w:color w:val="000000"/>
          <w:sz w:val="24"/>
          <w:szCs w:val="24"/>
        </w:rPr>
        <w:t xml:space="preserve"> đoạn từ ngày 03/01/2019 (ngày thành lập Quỹ) đến ngày 30/06/2019:</w:t>
      </w:r>
    </w:p>
    <w:p w:rsidR="00780773" w:rsidRPr="00AC01E9" w:rsidRDefault="003B5D8B" w:rsidP="004352B7">
      <w:pPr>
        <w:pStyle w:val="ListParagraph"/>
        <w:numPr>
          <w:ilvl w:val="0"/>
          <w:numId w:val="14"/>
        </w:numPr>
        <w:spacing w:before="120" w:after="120" w:line="360" w:lineRule="auto"/>
        <w:contextualSpacing w:val="0"/>
        <w:jc w:val="both"/>
        <w:rPr>
          <w:rFonts w:ascii="Times New Roman" w:hAnsi="Times New Roman"/>
          <w:i/>
          <w:sz w:val="24"/>
          <w:szCs w:val="24"/>
        </w:rPr>
      </w:pPr>
      <w:r w:rsidRPr="00AC01E9">
        <w:rPr>
          <w:rFonts w:ascii="Times New Roman" w:hAnsi="Times New Roman"/>
          <w:sz w:val="24"/>
          <w:szCs w:val="24"/>
          <w:lang w:val="nl-NL"/>
        </w:rPr>
        <w:t xml:space="preserve"> </w:t>
      </w:r>
      <w:r w:rsidR="00780773" w:rsidRPr="00AC01E9">
        <w:rPr>
          <w:rFonts w:ascii="Times New Roman" w:hAnsi="Times New Roman"/>
          <w:sz w:val="24"/>
          <w:szCs w:val="24"/>
          <w:lang w:val="nl-NL"/>
        </w:rPr>
        <w:t xml:space="preserve">Công ty Quản lý Quỹ </w:t>
      </w:r>
      <w:r w:rsidR="00780773" w:rsidRPr="00AC01E9">
        <w:rPr>
          <w:rFonts w:ascii="Times New Roman" w:hAnsi="Times New Roman"/>
          <w:sz w:val="24"/>
          <w:szCs w:val="24"/>
        </w:rPr>
        <w:t xml:space="preserve">vi phạm các quy định tại Khoản 1 Điều 37 Thông tư 183/2011/TT-BTC ngày 16/12/2011 của Bộ Tài chính hướng dẫn về việc thành lập và quản lý quỹ mở  và của Luật chứng khoán: </w:t>
      </w:r>
      <w:r w:rsidR="00780773" w:rsidRPr="00AC01E9">
        <w:rPr>
          <w:rFonts w:ascii="Times New Roman" w:hAnsi="Times New Roman"/>
          <w:b/>
          <w:i/>
          <w:sz w:val="24"/>
          <w:szCs w:val="24"/>
        </w:rPr>
        <w:t>Không có</w:t>
      </w:r>
    </w:p>
    <w:p w:rsidR="00780773" w:rsidRPr="00AC01E9" w:rsidRDefault="00780773" w:rsidP="004352B7">
      <w:pPr>
        <w:pStyle w:val="ListParagraph"/>
        <w:numPr>
          <w:ilvl w:val="0"/>
          <w:numId w:val="14"/>
        </w:numPr>
        <w:tabs>
          <w:tab w:val="left" w:pos="450"/>
        </w:tabs>
        <w:spacing w:before="120" w:after="120" w:line="360" w:lineRule="auto"/>
        <w:contextualSpacing w:val="0"/>
        <w:jc w:val="both"/>
        <w:rPr>
          <w:rFonts w:ascii="Times New Roman" w:hAnsi="Times New Roman"/>
          <w:sz w:val="24"/>
          <w:szCs w:val="24"/>
        </w:rPr>
      </w:pPr>
      <w:r w:rsidRPr="00AC01E9">
        <w:rPr>
          <w:rFonts w:ascii="Times New Roman" w:hAnsi="Times New Roman"/>
          <w:sz w:val="24"/>
          <w:szCs w:val="24"/>
          <w:lang w:val="nl-NL"/>
        </w:rPr>
        <w:t xml:space="preserve">Công ty Quản lý Quỹ </w:t>
      </w:r>
      <w:r w:rsidRPr="00AC01E9">
        <w:rPr>
          <w:rFonts w:ascii="Times New Roman" w:hAnsi="Times New Roman"/>
          <w:sz w:val="24"/>
          <w:szCs w:val="24"/>
        </w:rPr>
        <w:t xml:space="preserve">định giá sai Chứng chỉ Quỹ (“CCQ”)mở: </w:t>
      </w:r>
    </w:p>
    <w:p w:rsidR="00780773" w:rsidRPr="00AC01E9" w:rsidRDefault="00780773" w:rsidP="004352B7">
      <w:pPr>
        <w:pStyle w:val="ListParagraph"/>
        <w:numPr>
          <w:ilvl w:val="0"/>
          <w:numId w:val="15"/>
        </w:numPr>
        <w:tabs>
          <w:tab w:val="left" w:pos="990"/>
        </w:tabs>
        <w:spacing w:before="120" w:after="120" w:line="360" w:lineRule="auto"/>
        <w:contextualSpacing w:val="0"/>
        <w:jc w:val="both"/>
        <w:rPr>
          <w:rFonts w:ascii="Times New Roman" w:hAnsi="Times New Roman"/>
          <w:i/>
          <w:sz w:val="24"/>
          <w:szCs w:val="24"/>
        </w:rPr>
      </w:pPr>
      <w:r w:rsidRPr="002A7FEF">
        <w:rPr>
          <w:rFonts w:ascii="Times New Roman" w:hAnsi="Times New Roman"/>
          <w:sz w:val="24"/>
          <w:szCs w:val="24"/>
        </w:rPr>
        <w:t xml:space="preserve">Đối với trường hợp mức độ định giá sai là lớn theo quy định tại khoản 1 Điều 20 Thông tư số 183/2011/TT-BTC ngày 16/12/2011 của Bộ Tài chính hướng dẫn về việc thành lập và quản lý quỹ mở: </w:t>
      </w:r>
      <w:r w:rsidRPr="00AC01E9">
        <w:rPr>
          <w:rFonts w:ascii="Times New Roman" w:hAnsi="Times New Roman"/>
          <w:b/>
          <w:i/>
          <w:sz w:val="24"/>
          <w:szCs w:val="24"/>
        </w:rPr>
        <w:t>Không có</w:t>
      </w:r>
    </w:p>
    <w:p w:rsidR="00780773" w:rsidRPr="002A7FEF" w:rsidRDefault="00780773" w:rsidP="004352B7">
      <w:pPr>
        <w:pStyle w:val="ListParagraph"/>
        <w:numPr>
          <w:ilvl w:val="0"/>
          <w:numId w:val="15"/>
        </w:numPr>
        <w:tabs>
          <w:tab w:val="left" w:pos="990"/>
        </w:tabs>
        <w:spacing w:before="120" w:after="120" w:line="360" w:lineRule="auto"/>
        <w:contextualSpacing w:val="0"/>
        <w:jc w:val="both"/>
        <w:rPr>
          <w:rFonts w:ascii="Times New Roman" w:hAnsi="Times New Roman"/>
          <w:sz w:val="24"/>
          <w:szCs w:val="24"/>
        </w:rPr>
      </w:pPr>
      <w:r w:rsidRPr="002A7FEF">
        <w:rPr>
          <w:rFonts w:ascii="Times New Roman" w:hAnsi="Times New Roman"/>
          <w:sz w:val="24"/>
          <w:szCs w:val="24"/>
        </w:rPr>
        <w:t xml:space="preserve">Đối với trường hợp mức độ định giá sai là nhỏ, không phải bồi thường cho nhà đầu tư: </w:t>
      </w:r>
      <w:r w:rsidRPr="00AC01E9">
        <w:rPr>
          <w:rFonts w:ascii="Times New Roman" w:hAnsi="Times New Roman"/>
          <w:b/>
          <w:i/>
          <w:sz w:val="24"/>
          <w:szCs w:val="24"/>
          <w:lang w:val="nl-NL"/>
        </w:rPr>
        <w:t>Không có</w:t>
      </w:r>
    </w:p>
    <w:p w:rsidR="00780773" w:rsidRPr="00AC01E9" w:rsidRDefault="00780773" w:rsidP="004352B7">
      <w:pPr>
        <w:pStyle w:val="ListParagraph"/>
        <w:numPr>
          <w:ilvl w:val="0"/>
          <w:numId w:val="16"/>
        </w:numPr>
        <w:tabs>
          <w:tab w:val="left" w:pos="450"/>
        </w:tabs>
        <w:spacing w:before="120" w:after="120" w:line="360" w:lineRule="auto"/>
        <w:contextualSpacing w:val="0"/>
        <w:jc w:val="both"/>
        <w:rPr>
          <w:rFonts w:ascii="Times New Roman" w:hAnsi="Times New Roman"/>
          <w:sz w:val="24"/>
          <w:szCs w:val="24"/>
        </w:rPr>
      </w:pPr>
      <w:r w:rsidRPr="00AC01E9">
        <w:rPr>
          <w:rFonts w:ascii="Times New Roman" w:hAnsi="Times New Roman"/>
          <w:sz w:val="24"/>
          <w:szCs w:val="24"/>
          <w:lang w:val="nl-NL"/>
        </w:rPr>
        <w:lastRenderedPageBreak/>
        <w:t xml:space="preserve">Công ty Quản lý Quỹ </w:t>
      </w:r>
      <w:r w:rsidRPr="00AC01E9">
        <w:rPr>
          <w:rFonts w:ascii="Times New Roman" w:hAnsi="Times New Roman"/>
          <w:sz w:val="24"/>
          <w:szCs w:val="24"/>
        </w:rPr>
        <w:t xml:space="preserve">vi phạm các quy định về hạn chế đầu tư, hạn chế vay, hạn chế giao dịch tại Điều 92 của Luật chứng khoán; Điều 15, 16, 17 Thông tư số 183/2011/TT-BTC ngày 16/12/2011 của Bộ Tài chính hướng dẫn về việc thành lập và quản lý quỹ mở được sửa đổi bởi khoản 9, 10 Điều 1 Thông tư số 15/2016/TT-BTC ngày 20/01/2016 của Bộ trưởng Bộ Tài chính sửa đổi, bổ sung một số điều của Thông tư 183/2011/TT-BTC (“Thông tư 15/2016/TT-BTC”) và khoản 11, 12 Điều 1 Thông tư số 15/2016/TT-BTC: </w:t>
      </w:r>
      <w:r w:rsidR="00AC01E9" w:rsidRPr="00AC01E9">
        <w:rPr>
          <w:rFonts w:ascii="Times New Roman" w:hAnsi="Times New Roman"/>
          <w:b/>
          <w:i/>
          <w:sz w:val="24"/>
          <w:szCs w:val="24"/>
        </w:rPr>
        <w:t>K</w:t>
      </w:r>
      <w:r w:rsidRPr="00AC01E9">
        <w:rPr>
          <w:rFonts w:ascii="Times New Roman" w:hAnsi="Times New Roman"/>
          <w:b/>
          <w:i/>
          <w:sz w:val="24"/>
          <w:szCs w:val="24"/>
        </w:rPr>
        <w:t>hông có</w:t>
      </w:r>
    </w:p>
    <w:p w:rsidR="00780773" w:rsidRPr="00AC01E9" w:rsidRDefault="003B5D8B" w:rsidP="004352B7">
      <w:pPr>
        <w:pStyle w:val="ListParagraph"/>
        <w:numPr>
          <w:ilvl w:val="0"/>
          <w:numId w:val="16"/>
        </w:numPr>
        <w:tabs>
          <w:tab w:val="left" w:pos="450"/>
        </w:tabs>
        <w:spacing w:before="120" w:after="120" w:line="360" w:lineRule="auto"/>
        <w:contextualSpacing w:val="0"/>
        <w:jc w:val="both"/>
        <w:rPr>
          <w:rFonts w:ascii="Times New Roman" w:hAnsi="Times New Roman"/>
          <w:i/>
          <w:sz w:val="24"/>
          <w:szCs w:val="24"/>
        </w:rPr>
      </w:pPr>
      <w:r w:rsidRPr="00AC01E9">
        <w:rPr>
          <w:rFonts w:ascii="Times New Roman" w:hAnsi="Times New Roman"/>
          <w:sz w:val="24"/>
          <w:szCs w:val="24"/>
          <w:lang w:val="nl-NL"/>
        </w:rPr>
        <w:t xml:space="preserve"> </w:t>
      </w:r>
      <w:r w:rsidR="00780773" w:rsidRPr="00AC01E9">
        <w:rPr>
          <w:rFonts w:ascii="Times New Roman" w:hAnsi="Times New Roman"/>
          <w:sz w:val="24"/>
          <w:szCs w:val="24"/>
          <w:lang w:val="nl-NL"/>
        </w:rPr>
        <w:t>Công ty Quản lý Quỹ vi phạm các quy định về phân phối chứng chỉ quỹ (ngoại trừ quy định tại điểm a khoản 1 Điều 11 và khoản 2 Điều 12 Thông tư số 183/2011/TT-BTC ngày 16/12/2011 của Bộ Tài chính hướng dẫn về việc thành lập và quản lý quỹ mở) ):</w:t>
      </w:r>
      <w:r w:rsidR="00780773" w:rsidRPr="00AC01E9">
        <w:rPr>
          <w:rFonts w:ascii="Times New Roman" w:hAnsi="Times New Roman"/>
          <w:sz w:val="24"/>
          <w:szCs w:val="24"/>
        </w:rPr>
        <w:t xml:space="preserve"> </w:t>
      </w:r>
      <w:r w:rsidR="00AC01E9" w:rsidRPr="00AC01E9">
        <w:rPr>
          <w:rFonts w:ascii="Times New Roman" w:hAnsi="Times New Roman"/>
          <w:b/>
          <w:i/>
          <w:sz w:val="24"/>
          <w:szCs w:val="24"/>
        </w:rPr>
        <w:t>K</w:t>
      </w:r>
      <w:r w:rsidR="00780773" w:rsidRPr="00AC01E9">
        <w:rPr>
          <w:rFonts w:ascii="Times New Roman" w:hAnsi="Times New Roman"/>
          <w:b/>
          <w:i/>
          <w:sz w:val="24"/>
          <w:szCs w:val="24"/>
        </w:rPr>
        <w:t>hông có</w:t>
      </w:r>
    </w:p>
    <w:p w:rsidR="00780773" w:rsidRPr="002A7FEF" w:rsidRDefault="00780773" w:rsidP="004352B7">
      <w:pPr>
        <w:tabs>
          <w:tab w:val="left" w:pos="450"/>
        </w:tabs>
        <w:spacing w:before="120" w:after="120" w:line="360" w:lineRule="auto"/>
        <w:ind w:left="450"/>
        <w:jc w:val="both"/>
        <w:rPr>
          <w:rFonts w:ascii="Times New Roman" w:hAnsi="Times New Roman"/>
          <w:sz w:val="24"/>
          <w:szCs w:val="24"/>
        </w:rPr>
      </w:pPr>
      <w:r w:rsidRPr="002A7FEF">
        <w:rPr>
          <w:rFonts w:ascii="Times New Roman" w:hAnsi="Times New Roman"/>
          <w:sz w:val="24"/>
          <w:szCs w:val="24"/>
          <w:lang w:val="nl-NL"/>
        </w:rPr>
        <w:t>Chi tiết về phân phối chứng chỉ Quỹ:</w:t>
      </w:r>
    </w:p>
    <w:p w:rsidR="00780773" w:rsidRPr="002A7FEF" w:rsidRDefault="00780773" w:rsidP="004352B7">
      <w:pPr>
        <w:tabs>
          <w:tab w:val="left" w:pos="6120"/>
        </w:tabs>
        <w:spacing w:before="120" w:after="120"/>
        <w:ind w:left="450"/>
        <w:jc w:val="both"/>
        <w:rPr>
          <w:rFonts w:ascii="Times New Roman" w:hAnsi="Times New Roman"/>
          <w:sz w:val="24"/>
          <w:szCs w:val="24"/>
          <w:lang w:val="nl-NL"/>
        </w:rPr>
      </w:pPr>
      <w:r w:rsidRPr="002A7FEF">
        <w:rPr>
          <w:rFonts w:ascii="Times New Roman" w:hAnsi="Times New Roman"/>
          <w:sz w:val="24"/>
          <w:szCs w:val="24"/>
          <w:lang w:val="nl-NL"/>
        </w:rPr>
        <w:t>Tổng số chứng chỉ Quỹ tại ngày kết thúc IPO và theo giấy phép của Quỹ: 7.512.160 CCQ</w:t>
      </w:r>
    </w:p>
    <w:p w:rsidR="00780773" w:rsidRPr="002A7FEF" w:rsidRDefault="00780773" w:rsidP="004352B7">
      <w:pPr>
        <w:tabs>
          <w:tab w:val="left" w:pos="6120"/>
        </w:tabs>
        <w:spacing w:before="120" w:after="120"/>
        <w:ind w:left="450"/>
        <w:jc w:val="both"/>
        <w:rPr>
          <w:rFonts w:ascii="Times New Roman" w:hAnsi="Times New Roman"/>
          <w:sz w:val="24"/>
          <w:szCs w:val="24"/>
          <w:lang w:val="nl-NL"/>
        </w:rPr>
      </w:pPr>
      <w:r w:rsidRPr="002A7FEF">
        <w:rPr>
          <w:rFonts w:ascii="Times New Roman" w:hAnsi="Times New Roman"/>
          <w:sz w:val="24"/>
          <w:szCs w:val="24"/>
          <w:lang w:val="nl-NL"/>
        </w:rPr>
        <w:t>Tổng số chứng Quỹ phát hành thêm trong kỳ</w:t>
      </w:r>
      <w:r w:rsidRPr="002A7FEF">
        <w:rPr>
          <w:rFonts w:ascii="Times New Roman" w:hAnsi="Times New Roman"/>
          <w:sz w:val="24"/>
          <w:szCs w:val="24"/>
          <w:lang w:val="nl-NL"/>
        </w:rPr>
        <w:tab/>
        <w:t>: 269.148,42 CCQ</w:t>
      </w:r>
    </w:p>
    <w:p w:rsidR="00780773" w:rsidRPr="002A7FEF" w:rsidRDefault="00780773" w:rsidP="004352B7">
      <w:pPr>
        <w:tabs>
          <w:tab w:val="left" w:pos="6120"/>
        </w:tabs>
        <w:spacing w:before="120" w:after="120"/>
        <w:ind w:left="446"/>
        <w:jc w:val="both"/>
        <w:rPr>
          <w:rFonts w:ascii="Times New Roman" w:hAnsi="Times New Roman"/>
          <w:sz w:val="24"/>
          <w:szCs w:val="24"/>
          <w:lang w:val="nl-NL"/>
        </w:rPr>
      </w:pPr>
      <w:r w:rsidRPr="002A7FEF">
        <w:rPr>
          <w:rFonts w:ascii="Times New Roman" w:hAnsi="Times New Roman"/>
          <w:sz w:val="24"/>
          <w:szCs w:val="24"/>
          <w:lang w:val="nl-NL"/>
        </w:rPr>
        <w:t>Tổng số chứng Quỹ mua lại trong kỳ</w:t>
      </w:r>
      <w:r w:rsidRPr="002A7FEF">
        <w:rPr>
          <w:rFonts w:ascii="Times New Roman" w:hAnsi="Times New Roman"/>
          <w:sz w:val="24"/>
          <w:szCs w:val="24"/>
          <w:lang w:val="nl-NL"/>
        </w:rPr>
        <w:tab/>
        <w:t xml:space="preserve">: </w:t>
      </w:r>
      <w:r w:rsidR="004F236F">
        <w:rPr>
          <w:rFonts w:ascii="Times New Roman" w:hAnsi="Times New Roman"/>
          <w:sz w:val="24"/>
          <w:szCs w:val="24"/>
          <w:lang w:val="nl-NL"/>
        </w:rPr>
        <w:t xml:space="preserve">  </w:t>
      </w:r>
      <w:r w:rsidRPr="002A7FEF">
        <w:rPr>
          <w:rFonts w:ascii="Times New Roman" w:hAnsi="Times New Roman"/>
          <w:sz w:val="24"/>
          <w:szCs w:val="24"/>
          <w:lang w:val="nl-NL"/>
        </w:rPr>
        <w:t>94.834,46 CCQ</w:t>
      </w:r>
    </w:p>
    <w:tbl>
      <w:tblPr>
        <w:tblW w:w="9375" w:type="dxa"/>
        <w:tblCellSpacing w:w="15" w:type="dxa"/>
        <w:tblCellMar>
          <w:top w:w="15" w:type="dxa"/>
          <w:left w:w="15" w:type="dxa"/>
          <w:bottom w:w="15" w:type="dxa"/>
          <w:right w:w="15" w:type="dxa"/>
        </w:tblCellMar>
        <w:tblLook w:val="04A0" w:firstRow="1" w:lastRow="0" w:firstColumn="1" w:lastColumn="0" w:noHBand="0" w:noVBand="1"/>
      </w:tblPr>
      <w:tblGrid>
        <w:gridCol w:w="9375"/>
      </w:tblGrid>
      <w:tr w:rsidR="00780773" w:rsidRPr="002A7FEF" w:rsidTr="00EB1EC6">
        <w:trPr>
          <w:trHeight w:val="607"/>
          <w:tblCellSpacing w:w="15" w:type="dxa"/>
        </w:trPr>
        <w:tc>
          <w:tcPr>
            <w:tcW w:w="9315" w:type="dxa"/>
            <w:hideMark/>
          </w:tcPr>
          <w:p w:rsidR="00780773" w:rsidRPr="002A7FEF" w:rsidRDefault="00780773" w:rsidP="004352B7">
            <w:pPr>
              <w:tabs>
                <w:tab w:val="left" w:pos="6120"/>
              </w:tabs>
              <w:spacing w:before="120" w:after="120"/>
              <w:ind w:left="450"/>
              <w:jc w:val="both"/>
              <w:rPr>
                <w:rFonts w:ascii="Times New Roman" w:hAnsi="Times New Roman"/>
                <w:sz w:val="24"/>
                <w:szCs w:val="24"/>
                <w:lang w:val="nl-NL"/>
              </w:rPr>
            </w:pPr>
            <w:r w:rsidRPr="002A7FEF">
              <w:rPr>
                <w:rFonts w:ascii="Times New Roman" w:hAnsi="Times New Roman"/>
                <w:sz w:val="24"/>
                <w:szCs w:val="24"/>
                <w:lang w:val="nl-NL"/>
              </w:rPr>
              <w:t>Tổng số chứng chỉ Quỹ tại cuối ngày 30/06/2019</w:t>
            </w:r>
            <w:r w:rsidRPr="002A7FEF">
              <w:rPr>
                <w:rFonts w:ascii="Times New Roman" w:hAnsi="Times New Roman"/>
                <w:sz w:val="24"/>
                <w:szCs w:val="24"/>
                <w:lang w:val="nl-NL"/>
              </w:rPr>
              <w:tab/>
              <w:t>: 7.686.473,96 CCQ</w:t>
            </w:r>
          </w:p>
        </w:tc>
      </w:tr>
    </w:tbl>
    <w:p w:rsidR="00780773" w:rsidRPr="00AC01E9" w:rsidRDefault="00780773" w:rsidP="004352B7">
      <w:pPr>
        <w:pStyle w:val="ListParagraph"/>
        <w:numPr>
          <w:ilvl w:val="0"/>
          <w:numId w:val="17"/>
        </w:numPr>
        <w:tabs>
          <w:tab w:val="left" w:pos="450"/>
        </w:tabs>
        <w:spacing w:before="120" w:after="120" w:line="360" w:lineRule="auto"/>
        <w:contextualSpacing w:val="0"/>
        <w:jc w:val="both"/>
        <w:rPr>
          <w:rFonts w:ascii="Times New Roman" w:hAnsi="Times New Roman"/>
          <w:b/>
          <w:i/>
          <w:sz w:val="24"/>
          <w:szCs w:val="24"/>
        </w:rPr>
      </w:pPr>
      <w:r w:rsidRPr="00AC01E9">
        <w:rPr>
          <w:rFonts w:ascii="Times New Roman" w:hAnsi="Times New Roman"/>
          <w:sz w:val="24"/>
          <w:szCs w:val="24"/>
        </w:rPr>
        <w:t xml:space="preserve">Công ty Quản lý Quỹ vi phạm các quy định khác mà Ngân hàng Giám sát phát hiện: </w:t>
      </w:r>
      <w:r w:rsidRPr="00AC01E9">
        <w:rPr>
          <w:rFonts w:ascii="Times New Roman" w:hAnsi="Times New Roman"/>
          <w:b/>
          <w:i/>
          <w:sz w:val="24"/>
          <w:szCs w:val="24"/>
        </w:rPr>
        <w:t>Không có</w:t>
      </w:r>
    </w:p>
    <w:p w:rsidR="00780773" w:rsidRPr="00AC01E9" w:rsidRDefault="00780773" w:rsidP="004352B7">
      <w:pPr>
        <w:pStyle w:val="ListParagraph"/>
        <w:numPr>
          <w:ilvl w:val="0"/>
          <w:numId w:val="17"/>
        </w:numPr>
        <w:tabs>
          <w:tab w:val="left" w:pos="450"/>
        </w:tabs>
        <w:spacing w:before="120" w:after="120" w:line="360" w:lineRule="auto"/>
        <w:contextualSpacing w:val="0"/>
        <w:jc w:val="both"/>
        <w:rPr>
          <w:rFonts w:ascii="Times New Roman" w:hAnsi="Times New Roman"/>
          <w:sz w:val="24"/>
          <w:szCs w:val="24"/>
        </w:rPr>
      </w:pPr>
      <w:r w:rsidRPr="00AC01E9">
        <w:rPr>
          <w:rFonts w:ascii="Times New Roman" w:hAnsi="Times New Roman"/>
          <w:sz w:val="24"/>
          <w:szCs w:val="24"/>
        </w:rPr>
        <w:t xml:space="preserve">Các hoạt động khác: </w:t>
      </w:r>
      <w:r w:rsidRPr="00AC01E9">
        <w:rPr>
          <w:rFonts w:ascii="Times New Roman" w:hAnsi="Times New Roman"/>
          <w:b/>
          <w:sz w:val="24"/>
          <w:szCs w:val="24"/>
        </w:rPr>
        <w:t>Sai lệch trong hạn chế đầu tư của Quỹ DFVN-CAF:</w:t>
      </w:r>
    </w:p>
    <w:p w:rsidR="003B5D8B" w:rsidRDefault="00780773" w:rsidP="004352B7">
      <w:pPr>
        <w:tabs>
          <w:tab w:val="left" w:pos="426"/>
          <w:tab w:val="left" w:pos="1134"/>
        </w:tabs>
        <w:spacing w:before="120" w:after="120" w:line="300" w:lineRule="auto"/>
        <w:jc w:val="both"/>
        <w:rPr>
          <w:rFonts w:ascii="Times New Roman" w:hAnsi="Times New Roman"/>
          <w:sz w:val="24"/>
          <w:szCs w:val="24"/>
        </w:rPr>
      </w:pPr>
      <w:r w:rsidRPr="002A7FEF">
        <w:rPr>
          <w:rFonts w:ascii="Times New Roman" w:hAnsi="Times New Roman"/>
          <w:sz w:val="24"/>
          <w:szCs w:val="24"/>
        </w:rPr>
        <w:t xml:space="preserve">Theo quy định tại khoản a, điều 9.1 của điều lệ Quỹ và khoản 10, điều 1 của Thông tư 15/2016/TT-BTC: </w:t>
      </w:r>
      <w:r w:rsidRPr="002A7FEF">
        <w:rPr>
          <w:rFonts w:ascii="Times New Roman" w:hAnsi="Times New Roman"/>
          <w:i/>
          <w:sz w:val="24"/>
          <w:szCs w:val="24"/>
        </w:rPr>
        <w:t xml:space="preserve">"Cơ cấu danh mục đầu tư của quỹ mở phải có chứng khoán của ít nhất sáu (06) tổ chức phát hành, trừ trường hợp </w:t>
      </w:r>
      <w:r w:rsidR="00B82976">
        <w:rPr>
          <w:rFonts w:ascii="Times New Roman" w:hAnsi="Times New Roman"/>
          <w:i/>
          <w:sz w:val="24"/>
          <w:szCs w:val="24"/>
        </w:rPr>
        <w:t>Q</w:t>
      </w:r>
      <w:r w:rsidRPr="002A7FEF">
        <w:rPr>
          <w:rFonts w:ascii="Times New Roman" w:hAnsi="Times New Roman"/>
          <w:i/>
          <w:sz w:val="24"/>
          <w:szCs w:val="24"/>
        </w:rPr>
        <w:t>uỹ trái phiếu"</w:t>
      </w:r>
      <w:r w:rsidRPr="002A7FEF">
        <w:rPr>
          <w:rFonts w:ascii="Times New Roman" w:hAnsi="Times New Roman"/>
          <w:sz w:val="24"/>
          <w:szCs w:val="24"/>
        </w:rPr>
        <w:t xml:space="preserve"> và điều 8.4 của điều lệ Quỹ: </w:t>
      </w:r>
      <w:r w:rsidRPr="002A7FEF">
        <w:rPr>
          <w:rFonts w:ascii="Times New Roman" w:hAnsi="Times New Roman"/>
          <w:i/>
          <w:sz w:val="24"/>
          <w:szCs w:val="24"/>
        </w:rPr>
        <w:t>"Đầu tư vào cổ phiếu từ 50%-100% giá trị tài sản ròng của Quỹ"</w:t>
      </w:r>
      <w:r w:rsidRPr="002A7FEF">
        <w:rPr>
          <w:rFonts w:ascii="Times New Roman" w:hAnsi="Times New Roman"/>
          <w:sz w:val="24"/>
          <w:szCs w:val="24"/>
        </w:rPr>
        <w:t>. Tại kỳ báo cáo xác định giá trị tài sản ròng ("GTTSR") đầu tiên của Quỹ ngày 07/01/2019, Quỹ DFVN-CAF chưa thực hiện đầu tư vào chứng khoán vì Quỹ mới được cấp phép thành lập vào ngày 03/01/2019; theo đó, danh mục đầu tư của Quỹ tại ngày 07/01/2019 chưa có chứng khoán và chưa đáp ứng tỷ lệ đầu tư theo quy định tại điều 9.1a, điều 8.4 của điều lệ Quỹ và khoản 10, điều 1 của thông tư 15. Tại kỳ báo cáo có phát sinh hai sai lệch nêu trên, chúng tôi đã gửi thông báo đến CTQLQ và đề nghị CTQLQ có biện pháp khắc phục sai lệch để đảm bảo tuân thủ đúng quy định tại điều lệ Quỹ và thông tư 15. Theo ghi nhận của chúng tôi, tại kỳ báo cáo xác định GTTSR kế tiếp vào ngày 14/01/2019, Quỹ đã đầu tư vào cổ phiếu của nhiều hơn sáu (06) tổ chức phát hành và tỷ lệ đầu tư vào cổ phiếu của Quỹ là 65,65% trên GTTSR, tuân thủ theo đúng quy định tại điều lệ Quỹ và Thông tư 15.</w:t>
      </w:r>
    </w:p>
    <w:p w:rsidR="00100534" w:rsidRPr="003B5D8B" w:rsidRDefault="003B5D8B" w:rsidP="004352B7">
      <w:pPr>
        <w:tabs>
          <w:tab w:val="left" w:pos="426"/>
          <w:tab w:val="left" w:pos="1134"/>
        </w:tabs>
        <w:spacing w:before="120" w:after="120" w:line="300" w:lineRule="auto"/>
        <w:jc w:val="both"/>
        <w:rPr>
          <w:rFonts w:ascii="Times New Roman" w:hAnsi="Times New Roman"/>
          <w:b/>
          <w:sz w:val="24"/>
          <w:szCs w:val="24"/>
          <w:lang w:val="nl-NL"/>
        </w:rPr>
      </w:pPr>
      <w:r>
        <w:rPr>
          <w:rFonts w:ascii="Times New Roman" w:hAnsi="Times New Roman"/>
          <w:b/>
          <w:sz w:val="24"/>
          <w:szCs w:val="24"/>
          <w:lang w:val="nl-NL"/>
        </w:rPr>
        <w:lastRenderedPageBreak/>
        <w:t xml:space="preserve">5. </w:t>
      </w:r>
      <w:r w:rsidR="00100534" w:rsidRPr="003B5D8B">
        <w:rPr>
          <w:rFonts w:ascii="Times New Roman" w:hAnsi="Times New Roman"/>
          <w:b/>
          <w:sz w:val="24"/>
          <w:szCs w:val="24"/>
          <w:lang w:val="nl-NL"/>
        </w:rPr>
        <w:t>Báo cáo về hoạt động ủy quyền</w:t>
      </w:r>
    </w:p>
    <w:p w:rsidR="00100534" w:rsidRPr="002A7FEF" w:rsidRDefault="00100534" w:rsidP="004352B7">
      <w:pPr>
        <w:tabs>
          <w:tab w:val="left" w:pos="993"/>
        </w:tabs>
        <w:spacing w:before="120" w:after="120" w:line="312" w:lineRule="auto"/>
        <w:jc w:val="both"/>
        <w:rPr>
          <w:rFonts w:ascii="Times New Roman" w:hAnsi="Times New Roman"/>
          <w:sz w:val="24"/>
          <w:szCs w:val="24"/>
          <w:lang w:val="nl-NL"/>
        </w:rPr>
      </w:pPr>
      <w:r w:rsidRPr="002A7FEF">
        <w:rPr>
          <w:rFonts w:ascii="Times New Roman" w:hAnsi="Times New Roman"/>
          <w:sz w:val="24"/>
          <w:szCs w:val="24"/>
          <w:lang w:val="nl-NL"/>
        </w:rPr>
        <w:t xml:space="preserve">a)  Chi phí phải trả cho bên nhận ủy quyền so với lợi nhuận, thu nhập, tổng chi phí hoạt động của </w:t>
      </w:r>
      <w:r w:rsidR="00B82976">
        <w:rPr>
          <w:rFonts w:ascii="Times New Roman" w:hAnsi="Times New Roman"/>
          <w:sz w:val="24"/>
          <w:szCs w:val="24"/>
          <w:lang w:val="nl-NL"/>
        </w:rPr>
        <w:t>Q</w:t>
      </w:r>
      <w:r w:rsidRPr="002A7FEF">
        <w:rPr>
          <w:rFonts w:ascii="Times New Roman" w:hAnsi="Times New Roman"/>
          <w:sz w:val="24"/>
          <w:szCs w:val="24"/>
          <w:lang w:val="nl-NL"/>
        </w:rPr>
        <w:t>uỹ</w:t>
      </w:r>
      <w:r w:rsidR="003A0280" w:rsidRPr="002A7FEF">
        <w:rPr>
          <w:rFonts w:ascii="Times New Roman" w:hAnsi="Times New Roman"/>
          <w:sz w:val="24"/>
          <w:szCs w:val="24"/>
          <w:lang w:val="nl-NL"/>
        </w:rPr>
        <w: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0"/>
        <w:gridCol w:w="1530"/>
        <w:gridCol w:w="1260"/>
        <w:gridCol w:w="1890"/>
      </w:tblGrid>
      <w:tr w:rsidR="003A0280" w:rsidRPr="002A7FEF" w:rsidTr="00E83C48">
        <w:trPr>
          <w:trHeight w:val="660"/>
        </w:trPr>
        <w:tc>
          <w:tcPr>
            <w:tcW w:w="4680" w:type="dxa"/>
            <w:tcBorders>
              <w:top w:val="single" w:sz="4" w:space="0" w:color="auto"/>
              <w:left w:val="single" w:sz="4" w:space="0" w:color="auto"/>
              <w:bottom w:val="single" w:sz="4" w:space="0" w:color="auto"/>
              <w:right w:val="single" w:sz="4" w:space="0" w:color="auto"/>
            </w:tcBorders>
            <w:vAlign w:val="center"/>
            <w:hideMark/>
          </w:tcPr>
          <w:p w:rsidR="003A0280" w:rsidRPr="002A7FEF" w:rsidRDefault="003A0280" w:rsidP="004F236F">
            <w:pPr>
              <w:spacing w:before="120" w:after="120" w:line="240" w:lineRule="auto"/>
              <w:jc w:val="center"/>
              <w:rPr>
                <w:rFonts w:ascii="Times New Roman" w:eastAsia="Times New Roman" w:hAnsi="Times New Roman"/>
                <w:b/>
                <w:sz w:val="24"/>
                <w:szCs w:val="24"/>
                <w:lang w:val="nl-NL"/>
              </w:rPr>
            </w:pPr>
            <w:r w:rsidRPr="002A7FEF">
              <w:rPr>
                <w:rFonts w:ascii="Times New Roman" w:eastAsia="Times New Roman" w:hAnsi="Times New Roman"/>
                <w:b/>
                <w:sz w:val="24"/>
                <w:szCs w:val="24"/>
                <w:lang w:val="nl-NL"/>
              </w:rPr>
              <w:t>Chi phí phải trả cho bên nhận ủy quyền</w:t>
            </w:r>
          </w:p>
        </w:tc>
        <w:tc>
          <w:tcPr>
            <w:tcW w:w="1530" w:type="dxa"/>
            <w:tcBorders>
              <w:top w:val="single" w:sz="4" w:space="0" w:color="auto"/>
              <w:left w:val="single" w:sz="4" w:space="0" w:color="auto"/>
              <w:bottom w:val="single" w:sz="4" w:space="0" w:color="auto"/>
              <w:right w:val="single" w:sz="4" w:space="0" w:color="auto"/>
            </w:tcBorders>
            <w:vAlign w:val="center"/>
            <w:hideMark/>
          </w:tcPr>
          <w:p w:rsidR="003A0280" w:rsidRPr="002A7FEF" w:rsidRDefault="003A0280" w:rsidP="004F236F">
            <w:pPr>
              <w:spacing w:before="120" w:after="120" w:line="240" w:lineRule="auto"/>
              <w:jc w:val="center"/>
              <w:rPr>
                <w:rFonts w:ascii="Times New Roman" w:eastAsia="Times New Roman" w:hAnsi="Times New Roman"/>
                <w:b/>
                <w:sz w:val="24"/>
                <w:szCs w:val="24"/>
              </w:rPr>
            </w:pPr>
            <w:r w:rsidRPr="002A7FEF">
              <w:rPr>
                <w:rFonts w:ascii="Times New Roman" w:eastAsia="Times New Roman" w:hAnsi="Times New Roman"/>
                <w:b/>
                <w:sz w:val="24"/>
                <w:szCs w:val="24"/>
              </w:rPr>
              <w:t xml:space="preserve">Tỷ lệ so với </w:t>
            </w:r>
            <w:r w:rsidRPr="002A7FEF">
              <w:rPr>
                <w:rFonts w:ascii="Times New Roman" w:eastAsia="Times New Roman" w:hAnsi="Times New Roman"/>
                <w:b/>
                <w:sz w:val="24"/>
                <w:szCs w:val="24"/>
              </w:rPr>
              <w:br/>
              <w:t>lợi nhuận</w:t>
            </w:r>
          </w:p>
        </w:tc>
        <w:tc>
          <w:tcPr>
            <w:tcW w:w="1260" w:type="dxa"/>
            <w:tcBorders>
              <w:top w:val="single" w:sz="4" w:space="0" w:color="auto"/>
              <w:left w:val="single" w:sz="4" w:space="0" w:color="auto"/>
              <w:bottom w:val="single" w:sz="4" w:space="0" w:color="auto"/>
              <w:right w:val="single" w:sz="4" w:space="0" w:color="auto"/>
            </w:tcBorders>
            <w:vAlign w:val="center"/>
            <w:hideMark/>
          </w:tcPr>
          <w:p w:rsidR="003A0280" w:rsidRPr="002A7FEF" w:rsidRDefault="003A0280" w:rsidP="004F236F">
            <w:pPr>
              <w:spacing w:before="120" w:after="120" w:line="240" w:lineRule="auto"/>
              <w:jc w:val="center"/>
              <w:rPr>
                <w:rFonts w:ascii="Times New Roman" w:eastAsia="Times New Roman" w:hAnsi="Times New Roman"/>
                <w:b/>
                <w:sz w:val="24"/>
                <w:szCs w:val="24"/>
              </w:rPr>
            </w:pPr>
            <w:r w:rsidRPr="002A7FEF">
              <w:rPr>
                <w:rFonts w:ascii="Times New Roman" w:eastAsia="Times New Roman" w:hAnsi="Times New Roman"/>
                <w:b/>
                <w:sz w:val="24"/>
                <w:szCs w:val="24"/>
              </w:rPr>
              <w:t>Tỷ lệ so với thu nhập</w:t>
            </w:r>
          </w:p>
        </w:tc>
        <w:tc>
          <w:tcPr>
            <w:tcW w:w="1890" w:type="dxa"/>
            <w:tcBorders>
              <w:top w:val="single" w:sz="4" w:space="0" w:color="auto"/>
              <w:left w:val="single" w:sz="4" w:space="0" w:color="auto"/>
              <w:bottom w:val="single" w:sz="4" w:space="0" w:color="auto"/>
              <w:right w:val="single" w:sz="4" w:space="0" w:color="auto"/>
            </w:tcBorders>
            <w:vAlign w:val="center"/>
            <w:hideMark/>
          </w:tcPr>
          <w:p w:rsidR="003A0280" w:rsidRPr="002A7FEF" w:rsidRDefault="003A0280" w:rsidP="004F236F">
            <w:pPr>
              <w:spacing w:before="120" w:after="120" w:line="240" w:lineRule="auto"/>
              <w:jc w:val="center"/>
              <w:rPr>
                <w:rFonts w:ascii="Times New Roman" w:eastAsia="Times New Roman" w:hAnsi="Times New Roman"/>
                <w:b/>
                <w:sz w:val="24"/>
                <w:szCs w:val="24"/>
              </w:rPr>
            </w:pPr>
            <w:r w:rsidRPr="002A7FEF">
              <w:rPr>
                <w:rFonts w:ascii="Times New Roman" w:eastAsia="Times New Roman" w:hAnsi="Times New Roman"/>
                <w:b/>
                <w:sz w:val="24"/>
                <w:szCs w:val="24"/>
              </w:rPr>
              <w:t>Tỷ lệ so với Tổng chi phí hoạt động</w:t>
            </w:r>
          </w:p>
        </w:tc>
      </w:tr>
      <w:tr w:rsidR="003A0280" w:rsidRPr="002A7FEF" w:rsidTr="00E83C48">
        <w:trPr>
          <w:trHeight w:val="494"/>
        </w:trPr>
        <w:tc>
          <w:tcPr>
            <w:tcW w:w="4680" w:type="dxa"/>
            <w:tcBorders>
              <w:top w:val="single" w:sz="4" w:space="0" w:color="auto"/>
              <w:left w:val="single" w:sz="4" w:space="0" w:color="auto"/>
              <w:bottom w:val="single" w:sz="4" w:space="0" w:color="auto"/>
              <w:right w:val="single" w:sz="4" w:space="0" w:color="auto"/>
            </w:tcBorders>
            <w:vAlign w:val="center"/>
            <w:hideMark/>
          </w:tcPr>
          <w:p w:rsidR="003A0280" w:rsidRPr="002A7FEF" w:rsidRDefault="003A0280" w:rsidP="004352B7">
            <w:pPr>
              <w:spacing w:before="120" w:after="120" w:line="240" w:lineRule="auto"/>
              <w:jc w:val="both"/>
              <w:rPr>
                <w:rFonts w:ascii="Times New Roman" w:eastAsia="Times New Roman" w:hAnsi="Times New Roman"/>
                <w:sz w:val="24"/>
                <w:szCs w:val="24"/>
              </w:rPr>
            </w:pPr>
            <w:r w:rsidRPr="002A7FEF">
              <w:rPr>
                <w:rFonts w:ascii="Times New Roman" w:eastAsia="Times New Roman" w:hAnsi="Times New Roman"/>
                <w:sz w:val="24"/>
                <w:szCs w:val="24"/>
              </w:rPr>
              <w:t>Phí dịch vụ quản trị Quỹ mở</w:t>
            </w:r>
          </w:p>
        </w:tc>
        <w:tc>
          <w:tcPr>
            <w:tcW w:w="1530" w:type="dxa"/>
            <w:tcBorders>
              <w:top w:val="single" w:sz="4" w:space="0" w:color="auto"/>
              <w:left w:val="single" w:sz="4" w:space="0" w:color="auto"/>
              <w:bottom w:val="single" w:sz="4" w:space="0" w:color="auto"/>
              <w:right w:val="single" w:sz="4" w:space="0" w:color="auto"/>
            </w:tcBorders>
            <w:vAlign w:val="center"/>
            <w:hideMark/>
          </w:tcPr>
          <w:p w:rsidR="003A0280" w:rsidRPr="002A7FEF" w:rsidRDefault="00C61033" w:rsidP="004F236F">
            <w:pPr>
              <w:spacing w:before="120" w:after="120" w:line="240" w:lineRule="auto"/>
              <w:jc w:val="center"/>
              <w:rPr>
                <w:rFonts w:ascii="Times New Roman" w:eastAsia="Times New Roman" w:hAnsi="Times New Roman"/>
                <w:sz w:val="24"/>
                <w:szCs w:val="24"/>
              </w:rPr>
            </w:pPr>
            <w:r w:rsidRPr="002A7FEF">
              <w:rPr>
                <w:rFonts w:ascii="Times New Roman" w:eastAsia="Times New Roman" w:hAnsi="Times New Roman"/>
                <w:sz w:val="24"/>
                <w:szCs w:val="24"/>
              </w:rPr>
              <w:t>3,54%</w:t>
            </w:r>
          </w:p>
        </w:tc>
        <w:tc>
          <w:tcPr>
            <w:tcW w:w="1260" w:type="dxa"/>
            <w:tcBorders>
              <w:top w:val="single" w:sz="4" w:space="0" w:color="auto"/>
              <w:left w:val="single" w:sz="4" w:space="0" w:color="auto"/>
              <w:bottom w:val="single" w:sz="4" w:space="0" w:color="auto"/>
              <w:right w:val="single" w:sz="4" w:space="0" w:color="auto"/>
            </w:tcBorders>
            <w:vAlign w:val="center"/>
            <w:hideMark/>
          </w:tcPr>
          <w:p w:rsidR="003A0280" w:rsidRPr="002A7FEF" w:rsidRDefault="00C61033" w:rsidP="004F236F">
            <w:pPr>
              <w:spacing w:before="120" w:after="120" w:line="240" w:lineRule="auto"/>
              <w:jc w:val="center"/>
              <w:rPr>
                <w:rFonts w:ascii="Times New Roman" w:eastAsia="Times New Roman" w:hAnsi="Times New Roman"/>
                <w:sz w:val="24"/>
                <w:szCs w:val="24"/>
              </w:rPr>
            </w:pPr>
            <w:r w:rsidRPr="002A7FEF">
              <w:rPr>
                <w:rFonts w:ascii="Times New Roman" w:eastAsia="Times New Roman" w:hAnsi="Times New Roman"/>
                <w:sz w:val="24"/>
                <w:szCs w:val="24"/>
              </w:rPr>
              <w:t>2,13%</w:t>
            </w:r>
          </w:p>
        </w:tc>
        <w:tc>
          <w:tcPr>
            <w:tcW w:w="1890" w:type="dxa"/>
            <w:tcBorders>
              <w:top w:val="single" w:sz="4" w:space="0" w:color="auto"/>
              <w:left w:val="single" w:sz="4" w:space="0" w:color="auto"/>
              <w:bottom w:val="single" w:sz="4" w:space="0" w:color="auto"/>
              <w:right w:val="single" w:sz="4" w:space="0" w:color="auto"/>
            </w:tcBorders>
            <w:vAlign w:val="center"/>
            <w:hideMark/>
          </w:tcPr>
          <w:p w:rsidR="003A0280" w:rsidRPr="002A7FEF" w:rsidRDefault="00C61033" w:rsidP="004F236F">
            <w:pPr>
              <w:spacing w:before="120" w:after="120" w:line="240" w:lineRule="auto"/>
              <w:jc w:val="center"/>
              <w:rPr>
                <w:rFonts w:ascii="Times New Roman" w:eastAsia="Times New Roman" w:hAnsi="Times New Roman"/>
                <w:sz w:val="24"/>
                <w:szCs w:val="24"/>
              </w:rPr>
            </w:pPr>
            <w:r w:rsidRPr="002A7FEF">
              <w:rPr>
                <w:rFonts w:ascii="Times New Roman" w:eastAsia="Times New Roman" w:hAnsi="Times New Roman"/>
                <w:sz w:val="24"/>
                <w:szCs w:val="24"/>
              </w:rPr>
              <w:t>6,57%</w:t>
            </w:r>
          </w:p>
        </w:tc>
      </w:tr>
      <w:tr w:rsidR="003A0280" w:rsidRPr="002A7FEF" w:rsidTr="00E83C48">
        <w:trPr>
          <w:trHeight w:val="449"/>
        </w:trPr>
        <w:tc>
          <w:tcPr>
            <w:tcW w:w="4680" w:type="dxa"/>
            <w:tcBorders>
              <w:top w:val="single" w:sz="4" w:space="0" w:color="auto"/>
              <w:left w:val="single" w:sz="4" w:space="0" w:color="auto"/>
              <w:bottom w:val="single" w:sz="4" w:space="0" w:color="auto"/>
              <w:right w:val="single" w:sz="4" w:space="0" w:color="auto"/>
            </w:tcBorders>
            <w:vAlign w:val="center"/>
            <w:hideMark/>
          </w:tcPr>
          <w:p w:rsidR="003A0280" w:rsidRPr="002A7FEF" w:rsidRDefault="003A0280" w:rsidP="004352B7">
            <w:pPr>
              <w:spacing w:before="120" w:after="120" w:line="240" w:lineRule="auto"/>
              <w:jc w:val="both"/>
              <w:rPr>
                <w:rFonts w:ascii="Times New Roman" w:eastAsia="Times New Roman" w:hAnsi="Times New Roman"/>
                <w:sz w:val="24"/>
                <w:szCs w:val="24"/>
              </w:rPr>
            </w:pPr>
            <w:r w:rsidRPr="002A7FEF">
              <w:rPr>
                <w:rFonts w:ascii="Times New Roman" w:eastAsia="Times New Roman" w:hAnsi="Times New Roman"/>
                <w:sz w:val="24"/>
                <w:szCs w:val="24"/>
              </w:rPr>
              <w:t>Phí dịch vụ Đại lý chuyển nhượng</w:t>
            </w:r>
          </w:p>
        </w:tc>
        <w:tc>
          <w:tcPr>
            <w:tcW w:w="1530" w:type="dxa"/>
            <w:tcBorders>
              <w:top w:val="single" w:sz="4" w:space="0" w:color="auto"/>
              <w:left w:val="single" w:sz="4" w:space="0" w:color="auto"/>
              <w:bottom w:val="single" w:sz="4" w:space="0" w:color="auto"/>
              <w:right w:val="single" w:sz="4" w:space="0" w:color="auto"/>
            </w:tcBorders>
            <w:vAlign w:val="center"/>
            <w:hideMark/>
          </w:tcPr>
          <w:p w:rsidR="003A0280" w:rsidRPr="002A7FEF" w:rsidRDefault="00C61033" w:rsidP="004F236F">
            <w:pPr>
              <w:spacing w:before="120" w:after="120" w:line="240" w:lineRule="auto"/>
              <w:jc w:val="center"/>
              <w:rPr>
                <w:rFonts w:ascii="Times New Roman" w:eastAsia="Times New Roman" w:hAnsi="Times New Roman"/>
                <w:sz w:val="24"/>
                <w:szCs w:val="24"/>
              </w:rPr>
            </w:pPr>
            <w:r w:rsidRPr="002A7FEF">
              <w:rPr>
                <w:rFonts w:ascii="Times New Roman" w:eastAsia="Times New Roman" w:hAnsi="Times New Roman"/>
                <w:sz w:val="24"/>
                <w:szCs w:val="24"/>
              </w:rPr>
              <w:t>7,41%</w:t>
            </w:r>
          </w:p>
        </w:tc>
        <w:tc>
          <w:tcPr>
            <w:tcW w:w="1260" w:type="dxa"/>
            <w:tcBorders>
              <w:top w:val="single" w:sz="4" w:space="0" w:color="auto"/>
              <w:left w:val="single" w:sz="4" w:space="0" w:color="auto"/>
              <w:bottom w:val="single" w:sz="4" w:space="0" w:color="auto"/>
              <w:right w:val="single" w:sz="4" w:space="0" w:color="auto"/>
            </w:tcBorders>
            <w:vAlign w:val="center"/>
            <w:hideMark/>
          </w:tcPr>
          <w:p w:rsidR="003A0280" w:rsidRPr="002A7FEF" w:rsidRDefault="00C61033" w:rsidP="004F236F">
            <w:pPr>
              <w:spacing w:before="120" w:after="120" w:line="240" w:lineRule="auto"/>
              <w:jc w:val="center"/>
              <w:rPr>
                <w:rFonts w:ascii="Times New Roman" w:eastAsia="Times New Roman" w:hAnsi="Times New Roman"/>
                <w:sz w:val="24"/>
                <w:szCs w:val="24"/>
              </w:rPr>
            </w:pPr>
            <w:r w:rsidRPr="002A7FEF">
              <w:rPr>
                <w:rFonts w:ascii="Times New Roman" w:eastAsia="Times New Roman" w:hAnsi="Times New Roman"/>
                <w:sz w:val="24"/>
                <w:szCs w:val="24"/>
              </w:rPr>
              <w:t>4,46%</w:t>
            </w:r>
          </w:p>
        </w:tc>
        <w:tc>
          <w:tcPr>
            <w:tcW w:w="1890" w:type="dxa"/>
            <w:tcBorders>
              <w:top w:val="single" w:sz="4" w:space="0" w:color="auto"/>
              <w:left w:val="single" w:sz="4" w:space="0" w:color="auto"/>
              <w:bottom w:val="single" w:sz="4" w:space="0" w:color="auto"/>
              <w:right w:val="single" w:sz="4" w:space="0" w:color="auto"/>
            </w:tcBorders>
            <w:vAlign w:val="center"/>
            <w:hideMark/>
          </w:tcPr>
          <w:p w:rsidR="003A0280" w:rsidRPr="002A7FEF" w:rsidRDefault="00C61033" w:rsidP="004F236F">
            <w:pPr>
              <w:spacing w:before="120" w:after="120" w:line="240" w:lineRule="auto"/>
              <w:jc w:val="center"/>
              <w:rPr>
                <w:rFonts w:ascii="Times New Roman" w:eastAsia="Times New Roman" w:hAnsi="Times New Roman"/>
                <w:sz w:val="24"/>
                <w:szCs w:val="24"/>
              </w:rPr>
            </w:pPr>
            <w:r w:rsidRPr="002A7FEF">
              <w:rPr>
                <w:rFonts w:ascii="Times New Roman" w:eastAsia="Times New Roman" w:hAnsi="Times New Roman"/>
                <w:sz w:val="24"/>
                <w:szCs w:val="24"/>
              </w:rPr>
              <w:t>13,75%</w:t>
            </w:r>
          </w:p>
        </w:tc>
      </w:tr>
    </w:tbl>
    <w:p w:rsidR="00100534" w:rsidRPr="00AC01E9" w:rsidRDefault="00100534" w:rsidP="004352B7">
      <w:pPr>
        <w:tabs>
          <w:tab w:val="left" w:pos="993"/>
        </w:tabs>
        <w:spacing w:before="120" w:after="120" w:line="312" w:lineRule="auto"/>
        <w:jc w:val="both"/>
        <w:rPr>
          <w:rFonts w:ascii="Times New Roman" w:hAnsi="Times New Roman"/>
          <w:b/>
          <w:sz w:val="24"/>
          <w:szCs w:val="24"/>
          <w:lang w:val="nl-NL"/>
        </w:rPr>
      </w:pPr>
      <w:r w:rsidRPr="002A7FEF">
        <w:rPr>
          <w:rFonts w:ascii="Times New Roman" w:hAnsi="Times New Roman"/>
          <w:sz w:val="24"/>
          <w:szCs w:val="24"/>
          <w:lang w:val="nl-NL"/>
        </w:rPr>
        <w:t xml:space="preserve">b)  Các ảnh hưởng (nếu có) của hoạt động ủy quyền tới lợi nhuận, mức độ rủi ro của </w:t>
      </w:r>
      <w:r w:rsidR="00B82976">
        <w:rPr>
          <w:rFonts w:ascii="Times New Roman" w:hAnsi="Times New Roman"/>
          <w:sz w:val="24"/>
          <w:szCs w:val="24"/>
          <w:lang w:val="nl-NL"/>
        </w:rPr>
        <w:t>Q</w:t>
      </w:r>
      <w:r w:rsidRPr="002A7FEF">
        <w:rPr>
          <w:rFonts w:ascii="Times New Roman" w:hAnsi="Times New Roman"/>
          <w:sz w:val="24"/>
          <w:szCs w:val="24"/>
          <w:lang w:val="nl-NL"/>
        </w:rPr>
        <w:t>uỹ</w:t>
      </w:r>
      <w:r w:rsidR="003A0280" w:rsidRPr="002A7FEF">
        <w:rPr>
          <w:rFonts w:ascii="Times New Roman" w:hAnsi="Times New Roman"/>
          <w:sz w:val="24"/>
          <w:szCs w:val="24"/>
          <w:lang w:val="nl-NL"/>
        </w:rPr>
        <w:t xml:space="preserve">: </w:t>
      </w:r>
      <w:r w:rsidR="00AC01E9" w:rsidRPr="00AC01E9">
        <w:rPr>
          <w:rFonts w:ascii="Times New Roman" w:hAnsi="Times New Roman"/>
          <w:b/>
          <w:i/>
          <w:sz w:val="24"/>
          <w:szCs w:val="24"/>
          <w:lang w:val="nl-NL"/>
        </w:rPr>
        <w:t>K</w:t>
      </w:r>
      <w:r w:rsidR="003A0280" w:rsidRPr="00AC01E9">
        <w:rPr>
          <w:rFonts w:ascii="Times New Roman" w:hAnsi="Times New Roman"/>
          <w:b/>
          <w:i/>
          <w:sz w:val="24"/>
          <w:szCs w:val="24"/>
          <w:lang w:val="nl-NL"/>
        </w:rPr>
        <w:t>hông có</w:t>
      </w:r>
    </w:p>
    <w:p w:rsidR="00100534" w:rsidRPr="002A7FEF" w:rsidRDefault="00100534" w:rsidP="004352B7">
      <w:pPr>
        <w:tabs>
          <w:tab w:val="left" w:pos="993"/>
        </w:tabs>
        <w:spacing w:before="120" w:after="120" w:line="312" w:lineRule="auto"/>
        <w:jc w:val="both"/>
        <w:rPr>
          <w:rFonts w:ascii="Times New Roman" w:hAnsi="Times New Roman"/>
          <w:sz w:val="24"/>
          <w:szCs w:val="24"/>
          <w:lang w:val="nl-NL"/>
        </w:rPr>
      </w:pPr>
      <w:r w:rsidRPr="002A7FEF">
        <w:rPr>
          <w:rFonts w:ascii="Times New Roman" w:hAnsi="Times New Roman"/>
          <w:sz w:val="24"/>
          <w:szCs w:val="24"/>
          <w:lang w:val="nl-NL"/>
        </w:rPr>
        <w:t xml:space="preserve">c)  Tổng chi phí các hoạt động ủy quyền phải trả cho bên nhận ủy quyền (trường hợp bên nhận ủy quyền cung cấp nhiều dịch vụ cho </w:t>
      </w:r>
      <w:r w:rsidR="00B82976">
        <w:rPr>
          <w:rFonts w:ascii="Times New Roman" w:hAnsi="Times New Roman"/>
          <w:sz w:val="24"/>
          <w:szCs w:val="24"/>
          <w:lang w:val="nl-NL"/>
        </w:rPr>
        <w:t>C</w:t>
      </w:r>
      <w:r w:rsidRPr="002A7FEF">
        <w:rPr>
          <w:rFonts w:ascii="Times New Roman" w:hAnsi="Times New Roman"/>
          <w:sz w:val="24"/>
          <w:szCs w:val="24"/>
          <w:lang w:val="nl-NL"/>
        </w:rPr>
        <w:t xml:space="preserve">ông ty </w:t>
      </w:r>
      <w:r w:rsidR="00B82976">
        <w:rPr>
          <w:rFonts w:ascii="Times New Roman" w:hAnsi="Times New Roman"/>
          <w:sz w:val="24"/>
          <w:szCs w:val="24"/>
          <w:lang w:val="nl-NL"/>
        </w:rPr>
        <w:t>Q</w:t>
      </w:r>
      <w:r w:rsidRPr="002A7FEF">
        <w:rPr>
          <w:rFonts w:ascii="Times New Roman" w:hAnsi="Times New Roman"/>
          <w:sz w:val="24"/>
          <w:szCs w:val="24"/>
          <w:lang w:val="nl-NL"/>
        </w:rPr>
        <w:t xml:space="preserve">uản lý </w:t>
      </w:r>
      <w:r w:rsidR="00B82976">
        <w:rPr>
          <w:rFonts w:ascii="Times New Roman" w:hAnsi="Times New Roman"/>
          <w:sz w:val="24"/>
          <w:szCs w:val="24"/>
          <w:lang w:val="nl-NL"/>
        </w:rPr>
        <w:t>Q</w:t>
      </w:r>
      <w:r w:rsidRPr="002A7FEF">
        <w:rPr>
          <w:rFonts w:ascii="Times New Roman" w:hAnsi="Times New Roman"/>
          <w:sz w:val="24"/>
          <w:szCs w:val="24"/>
          <w:lang w:val="nl-NL"/>
        </w:rPr>
        <w:t>uỹ)</w:t>
      </w:r>
    </w:p>
    <w:p w:rsidR="003A0280" w:rsidRPr="002A7FEF" w:rsidRDefault="003A0280" w:rsidP="004352B7">
      <w:pPr>
        <w:tabs>
          <w:tab w:val="left" w:pos="540"/>
          <w:tab w:val="left" w:pos="1134"/>
        </w:tabs>
        <w:spacing w:before="120" w:after="120" w:line="240" w:lineRule="auto"/>
        <w:jc w:val="both"/>
        <w:rPr>
          <w:rFonts w:ascii="Times New Roman" w:eastAsia="Times New Roman" w:hAnsi="Times New Roman"/>
          <w:sz w:val="24"/>
          <w:szCs w:val="24"/>
          <w:lang w:val="nl-NL"/>
        </w:rPr>
      </w:pPr>
      <w:r w:rsidRPr="002A7FEF">
        <w:rPr>
          <w:rFonts w:ascii="Times New Roman" w:eastAsia="Times New Roman" w:hAnsi="Times New Roman"/>
          <w:sz w:val="24"/>
          <w:szCs w:val="24"/>
          <w:lang w:val="nl-NL"/>
        </w:rPr>
        <w:t xml:space="preserve">Chi phí các hoạt động ủy quyền bao gồm dịch vụ </w:t>
      </w:r>
      <w:r w:rsidR="00B82976">
        <w:rPr>
          <w:rFonts w:ascii="Times New Roman" w:eastAsia="Times New Roman" w:hAnsi="Times New Roman"/>
          <w:sz w:val="24"/>
          <w:szCs w:val="24"/>
          <w:lang w:val="nl-NL"/>
        </w:rPr>
        <w:t>Q</w:t>
      </w:r>
      <w:r w:rsidRPr="002A7FEF">
        <w:rPr>
          <w:rFonts w:ascii="Times New Roman" w:eastAsia="Times New Roman" w:hAnsi="Times New Roman"/>
          <w:sz w:val="24"/>
          <w:szCs w:val="24"/>
          <w:lang w:val="nl-NL"/>
        </w:rPr>
        <w:t xml:space="preserve">uản trị </w:t>
      </w:r>
      <w:r w:rsidR="00B82976">
        <w:rPr>
          <w:rFonts w:ascii="Times New Roman" w:eastAsia="Times New Roman" w:hAnsi="Times New Roman"/>
          <w:sz w:val="24"/>
          <w:szCs w:val="24"/>
          <w:lang w:val="nl-NL"/>
        </w:rPr>
        <w:t>Q</w:t>
      </w:r>
      <w:r w:rsidRPr="002A7FEF">
        <w:rPr>
          <w:rFonts w:ascii="Times New Roman" w:eastAsia="Times New Roman" w:hAnsi="Times New Roman"/>
          <w:sz w:val="24"/>
          <w:szCs w:val="24"/>
          <w:lang w:val="nl-NL"/>
        </w:rPr>
        <w:t xml:space="preserve">uỹ và dịch vụ </w:t>
      </w:r>
      <w:r w:rsidR="00B82976">
        <w:rPr>
          <w:rFonts w:ascii="Times New Roman" w:eastAsia="Times New Roman" w:hAnsi="Times New Roman"/>
          <w:sz w:val="24"/>
          <w:szCs w:val="24"/>
          <w:lang w:val="nl-NL"/>
        </w:rPr>
        <w:t>Đ</w:t>
      </w:r>
      <w:r w:rsidRPr="002A7FEF">
        <w:rPr>
          <w:rFonts w:ascii="Times New Roman" w:eastAsia="Times New Roman" w:hAnsi="Times New Roman"/>
          <w:sz w:val="24"/>
          <w:szCs w:val="24"/>
          <w:lang w:val="nl-NL"/>
        </w:rPr>
        <w:t xml:space="preserve">ại lý chuyển nhượng phải trả cho bên nhận ủy quyền – Ngân hàng TNHH một thành viên HSBC (Việt Nam) từ ngày </w:t>
      </w:r>
      <w:r w:rsidRPr="00AE6D17">
        <w:rPr>
          <w:rFonts w:ascii="Times New Roman" w:eastAsia="Times New Roman" w:hAnsi="Times New Roman"/>
          <w:sz w:val="24"/>
          <w:szCs w:val="24"/>
          <w:lang w:val="nl-NL"/>
        </w:rPr>
        <w:t>03/01/2019 đến 30/06/2019 như sau:</w:t>
      </w:r>
    </w:p>
    <w:tbl>
      <w:tblPr>
        <w:tblW w:w="9360" w:type="dxa"/>
        <w:tblInd w:w="5" w:type="dxa"/>
        <w:tblCellMar>
          <w:left w:w="0" w:type="dxa"/>
          <w:right w:w="0" w:type="dxa"/>
        </w:tblCellMar>
        <w:tblLook w:val="04A0" w:firstRow="1" w:lastRow="0" w:firstColumn="1" w:lastColumn="0" w:noHBand="0" w:noVBand="1"/>
      </w:tblPr>
      <w:tblGrid>
        <w:gridCol w:w="5580"/>
        <w:gridCol w:w="3780"/>
      </w:tblGrid>
      <w:tr w:rsidR="003A0280" w:rsidRPr="002A7FEF" w:rsidTr="00E83C48">
        <w:trPr>
          <w:trHeight w:val="330"/>
        </w:trPr>
        <w:tc>
          <w:tcPr>
            <w:tcW w:w="5580" w:type="dxa"/>
            <w:tcBorders>
              <w:top w:val="single" w:sz="4" w:space="0" w:color="auto"/>
              <w:left w:val="single" w:sz="4" w:space="0" w:color="auto"/>
              <w:bottom w:val="single" w:sz="4" w:space="0" w:color="auto"/>
              <w:right w:val="single" w:sz="4" w:space="0" w:color="auto"/>
            </w:tcBorders>
            <w:vAlign w:val="center"/>
            <w:hideMark/>
          </w:tcPr>
          <w:p w:rsidR="003A0280" w:rsidRPr="002A7FEF" w:rsidRDefault="003A0280" w:rsidP="004352B7">
            <w:pPr>
              <w:spacing w:before="120" w:after="120" w:line="240" w:lineRule="auto"/>
              <w:ind w:firstLine="90"/>
              <w:jc w:val="both"/>
              <w:rPr>
                <w:rFonts w:ascii="Times New Roman" w:hAnsi="Times New Roman"/>
                <w:sz w:val="24"/>
                <w:szCs w:val="24"/>
                <w:lang w:val="nl-NL"/>
              </w:rPr>
            </w:pPr>
            <w:r w:rsidRPr="002A7FEF">
              <w:rPr>
                <w:rFonts w:ascii="Times New Roman" w:hAnsi="Times New Roman"/>
                <w:sz w:val="24"/>
                <w:szCs w:val="24"/>
                <w:lang w:val="nl-NL"/>
              </w:rPr>
              <w:t>Phí dịch vụ quản trị Quỹ mở (VND)</w:t>
            </w:r>
          </w:p>
        </w:tc>
        <w:tc>
          <w:tcPr>
            <w:tcW w:w="3780" w:type="dxa"/>
            <w:tcBorders>
              <w:top w:val="single" w:sz="4" w:space="0" w:color="auto"/>
              <w:left w:val="nil"/>
              <w:bottom w:val="single" w:sz="4" w:space="0" w:color="auto"/>
              <w:right w:val="single" w:sz="4" w:space="0" w:color="auto"/>
            </w:tcBorders>
            <w:hideMark/>
          </w:tcPr>
          <w:p w:rsidR="003A0280" w:rsidRPr="002A7FEF" w:rsidRDefault="00C61033" w:rsidP="004F236F">
            <w:pPr>
              <w:spacing w:before="120" w:after="120" w:line="240" w:lineRule="auto"/>
              <w:jc w:val="center"/>
              <w:rPr>
                <w:rFonts w:ascii="Times New Roman" w:eastAsia="Times New Roman" w:hAnsi="Times New Roman"/>
                <w:sz w:val="24"/>
                <w:szCs w:val="24"/>
              </w:rPr>
            </w:pPr>
            <w:r w:rsidRPr="002A7FEF">
              <w:rPr>
                <w:rFonts w:ascii="Times New Roman" w:eastAsia="Times New Roman" w:hAnsi="Times New Roman"/>
                <w:sz w:val="24"/>
                <w:szCs w:val="24"/>
              </w:rPr>
              <w:t>71.819.357</w:t>
            </w:r>
          </w:p>
        </w:tc>
      </w:tr>
      <w:tr w:rsidR="003A0280" w:rsidRPr="002A7FEF" w:rsidTr="00E83C48">
        <w:trPr>
          <w:trHeight w:val="330"/>
        </w:trPr>
        <w:tc>
          <w:tcPr>
            <w:tcW w:w="5580" w:type="dxa"/>
            <w:tcBorders>
              <w:top w:val="nil"/>
              <w:left w:val="single" w:sz="4" w:space="0" w:color="auto"/>
              <w:bottom w:val="single" w:sz="4" w:space="0" w:color="auto"/>
              <w:right w:val="single" w:sz="4" w:space="0" w:color="auto"/>
            </w:tcBorders>
            <w:vAlign w:val="center"/>
            <w:hideMark/>
          </w:tcPr>
          <w:p w:rsidR="003A0280" w:rsidRPr="002A7FEF" w:rsidRDefault="003A0280" w:rsidP="004352B7">
            <w:pPr>
              <w:spacing w:before="120" w:after="120" w:line="240" w:lineRule="auto"/>
              <w:ind w:firstLine="90"/>
              <w:jc w:val="both"/>
              <w:rPr>
                <w:rFonts w:ascii="Times New Roman" w:hAnsi="Times New Roman"/>
                <w:sz w:val="24"/>
                <w:szCs w:val="24"/>
                <w:lang w:val="nl-NL"/>
              </w:rPr>
            </w:pPr>
            <w:r w:rsidRPr="002A7FEF">
              <w:rPr>
                <w:rFonts w:ascii="Times New Roman" w:hAnsi="Times New Roman"/>
                <w:sz w:val="24"/>
                <w:szCs w:val="24"/>
                <w:lang w:val="nl-NL"/>
              </w:rPr>
              <w:t>Phí dịch vụ Đại lý chuyển nhượng (VND)</w:t>
            </w:r>
          </w:p>
        </w:tc>
        <w:tc>
          <w:tcPr>
            <w:tcW w:w="3780" w:type="dxa"/>
            <w:tcBorders>
              <w:top w:val="single" w:sz="4" w:space="0" w:color="auto"/>
              <w:left w:val="nil"/>
              <w:bottom w:val="single" w:sz="4" w:space="0" w:color="auto"/>
              <w:right w:val="single" w:sz="4" w:space="0" w:color="auto"/>
            </w:tcBorders>
            <w:hideMark/>
          </w:tcPr>
          <w:p w:rsidR="003A0280" w:rsidRPr="002A7FEF" w:rsidRDefault="00C61033" w:rsidP="004F236F">
            <w:pPr>
              <w:spacing w:before="120" w:after="120" w:line="240" w:lineRule="auto"/>
              <w:jc w:val="center"/>
              <w:rPr>
                <w:rFonts w:ascii="Times New Roman" w:eastAsia="Times New Roman" w:hAnsi="Times New Roman"/>
                <w:sz w:val="24"/>
                <w:szCs w:val="24"/>
              </w:rPr>
            </w:pPr>
            <w:r w:rsidRPr="002A7FEF">
              <w:rPr>
                <w:rFonts w:ascii="Times New Roman" w:eastAsia="Times New Roman" w:hAnsi="Times New Roman"/>
                <w:sz w:val="24"/>
                <w:szCs w:val="24"/>
              </w:rPr>
              <w:t>150.235.673</w:t>
            </w:r>
          </w:p>
        </w:tc>
      </w:tr>
      <w:tr w:rsidR="003A0280" w:rsidRPr="002A7FEF" w:rsidTr="00E83C48">
        <w:trPr>
          <w:trHeight w:val="233"/>
        </w:trPr>
        <w:tc>
          <w:tcPr>
            <w:tcW w:w="5580" w:type="dxa"/>
            <w:tcBorders>
              <w:top w:val="nil"/>
              <w:left w:val="single" w:sz="4" w:space="0" w:color="auto"/>
              <w:bottom w:val="single" w:sz="4" w:space="0" w:color="auto"/>
              <w:right w:val="single" w:sz="4" w:space="0" w:color="auto"/>
            </w:tcBorders>
            <w:vAlign w:val="center"/>
            <w:hideMark/>
          </w:tcPr>
          <w:p w:rsidR="003A0280" w:rsidRPr="002A7FEF" w:rsidRDefault="003A0280" w:rsidP="004352B7">
            <w:pPr>
              <w:spacing w:before="120" w:after="120" w:line="240" w:lineRule="auto"/>
              <w:ind w:firstLine="90"/>
              <w:jc w:val="both"/>
              <w:rPr>
                <w:rFonts w:ascii="Times New Roman" w:hAnsi="Times New Roman"/>
                <w:b/>
                <w:bCs/>
                <w:sz w:val="24"/>
                <w:szCs w:val="24"/>
              </w:rPr>
            </w:pPr>
            <w:r w:rsidRPr="002A7FEF">
              <w:rPr>
                <w:rFonts w:ascii="Times New Roman" w:hAnsi="Times New Roman"/>
                <w:b/>
                <w:bCs/>
                <w:sz w:val="24"/>
                <w:szCs w:val="24"/>
              </w:rPr>
              <w:t>Tổng cộng (VND)</w:t>
            </w:r>
          </w:p>
        </w:tc>
        <w:tc>
          <w:tcPr>
            <w:tcW w:w="3780" w:type="dxa"/>
            <w:tcBorders>
              <w:top w:val="single" w:sz="4" w:space="0" w:color="auto"/>
              <w:left w:val="nil"/>
              <w:bottom w:val="single" w:sz="4" w:space="0" w:color="auto"/>
              <w:right w:val="single" w:sz="4" w:space="0" w:color="auto"/>
            </w:tcBorders>
            <w:hideMark/>
          </w:tcPr>
          <w:p w:rsidR="003A0280" w:rsidRPr="002A7FEF" w:rsidRDefault="00C61033" w:rsidP="004F236F">
            <w:pPr>
              <w:spacing w:before="120" w:after="120" w:line="240" w:lineRule="auto"/>
              <w:jc w:val="center"/>
              <w:rPr>
                <w:rFonts w:ascii="Times New Roman" w:eastAsia="Times New Roman" w:hAnsi="Times New Roman"/>
                <w:b/>
                <w:sz w:val="24"/>
                <w:szCs w:val="24"/>
              </w:rPr>
            </w:pPr>
            <w:r w:rsidRPr="002A7FEF">
              <w:rPr>
                <w:rFonts w:ascii="Times New Roman" w:eastAsia="Times New Roman" w:hAnsi="Times New Roman"/>
                <w:b/>
                <w:sz w:val="24"/>
                <w:szCs w:val="24"/>
              </w:rPr>
              <w:t>222.055.030</w:t>
            </w:r>
          </w:p>
        </w:tc>
      </w:tr>
    </w:tbl>
    <w:p w:rsidR="00C0699B" w:rsidRPr="002A7FEF" w:rsidRDefault="00100534" w:rsidP="004352B7">
      <w:pPr>
        <w:spacing w:before="120" w:after="120"/>
        <w:ind w:firstLine="1"/>
        <w:jc w:val="both"/>
        <w:rPr>
          <w:rFonts w:ascii="Times New Roman" w:hAnsi="Times New Roman"/>
          <w:sz w:val="24"/>
          <w:szCs w:val="24"/>
          <w:lang w:val="nl-NL"/>
        </w:rPr>
      </w:pPr>
      <w:r w:rsidRPr="002A7FEF">
        <w:rPr>
          <w:rFonts w:ascii="Times New Roman" w:hAnsi="Times New Roman"/>
          <w:sz w:val="24"/>
          <w:szCs w:val="24"/>
          <w:lang w:val="nl-NL"/>
        </w:rPr>
        <w:t xml:space="preserve">d)  </w:t>
      </w:r>
      <w:r w:rsidR="007D5FD9" w:rsidRPr="004F236F">
        <w:rPr>
          <w:rFonts w:ascii="Times New Roman" w:hAnsi="Times New Roman"/>
          <w:sz w:val="24"/>
          <w:szCs w:val="24"/>
          <w:lang w:val="nl-NL"/>
        </w:rPr>
        <w:t>Trong quá trình hoạt động của Quỹ</w:t>
      </w:r>
      <w:r w:rsidR="001123FF" w:rsidRPr="004F236F">
        <w:rPr>
          <w:rFonts w:ascii="Times New Roman" w:hAnsi="Times New Roman"/>
          <w:sz w:val="24"/>
          <w:szCs w:val="24"/>
          <w:lang w:val="nl-NL"/>
        </w:rPr>
        <w:t xml:space="preserve">, </w:t>
      </w:r>
      <w:r w:rsidR="007D5FD9" w:rsidRPr="004F236F">
        <w:rPr>
          <w:rFonts w:ascii="Times New Roman" w:hAnsi="Times New Roman"/>
          <w:sz w:val="24"/>
          <w:szCs w:val="24"/>
          <w:lang w:val="nl-NL"/>
        </w:rPr>
        <w:t>Công ty cho rằng</w:t>
      </w:r>
      <w:r w:rsidR="001123FF" w:rsidRPr="004F236F">
        <w:rPr>
          <w:rFonts w:ascii="Times New Roman" w:hAnsi="Times New Roman"/>
          <w:sz w:val="24"/>
          <w:szCs w:val="24"/>
          <w:lang w:val="nl-NL"/>
        </w:rPr>
        <w:t xml:space="preserve"> dịch vụ Quản trị Quỹ, Đại lý Chuyển nhượng của Ngân hàng TNHH Một thành viên HSBC (Việt Nam) </w:t>
      </w:r>
      <w:r w:rsidR="007D5FD9" w:rsidRPr="004F236F">
        <w:rPr>
          <w:rFonts w:ascii="Times New Roman" w:hAnsi="Times New Roman"/>
          <w:sz w:val="24"/>
          <w:szCs w:val="24"/>
          <w:lang w:val="nl-NL"/>
        </w:rPr>
        <w:t xml:space="preserve">vẫn đáp ứng theo yêu cầu </w:t>
      </w:r>
      <w:r w:rsidR="001123FF" w:rsidRPr="004F236F">
        <w:rPr>
          <w:rFonts w:ascii="Times New Roman" w:hAnsi="Times New Roman"/>
          <w:sz w:val="24"/>
          <w:szCs w:val="24"/>
          <w:lang w:val="nl-NL"/>
        </w:rPr>
        <w:t xml:space="preserve">về </w:t>
      </w:r>
      <w:r w:rsidR="007D5FD9" w:rsidRPr="004F236F">
        <w:rPr>
          <w:rFonts w:ascii="Times New Roman" w:hAnsi="Times New Roman"/>
          <w:sz w:val="24"/>
          <w:szCs w:val="24"/>
          <w:lang w:val="nl-NL"/>
        </w:rPr>
        <w:t xml:space="preserve">khả năng </w:t>
      </w:r>
      <w:r w:rsidR="00C0699B" w:rsidRPr="004F236F">
        <w:rPr>
          <w:rFonts w:ascii="Times New Roman" w:hAnsi="Times New Roman"/>
          <w:sz w:val="24"/>
          <w:szCs w:val="24"/>
          <w:lang w:val="nl-NL"/>
        </w:rPr>
        <w:t>duy trì hệ thống kiểm soát nội bộ, quản trị rủi ro, tính bảo mật, hạ tầng cơ sở vật chất kỹ thuật, hệ thống dự phòng nóng, hệ thống d</w:t>
      </w:r>
      <w:r w:rsidR="007D5FD9" w:rsidRPr="004F236F">
        <w:rPr>
          <w:rFonts w:ascii="Times New Roman" w:hAnsi="Times New Roman"/>
          <w:sz w:val="24"/>
          <w:szCs w:val="24"/>
          <w:lang w:val="nl-NL"/>
        </w:rPr>
        <w:t>ự</w:t>
      </w:r>
      <w:r w:rsidR="00C0699B" w:rsidRPr="004F236F">
        <w:rPr>
          <w:rFonts w:ascii="Times New Roman" w:hAnsi="Times New Roman"/>
          <w:sz w:val="24"/>
          <w:szCs w:val="24"/>
          <w:lang w:val="nl-NL"/>
        </w:rPr>
        <w:t xml:space="preserve"> phòng thảm họa, bảo đảm hoạt động ủy quyền</w:t>
      </w:r>
      <w:r w:rsidR="00175F80" w:rsidRPr="004F236F">
        <w:rPr>
          <w:rFonts w:ascii="Times New Roman" w:hAnsi="Times New Roman"/>
          <w:sz w:val="24"/>
          <w:szCs w:val="24"/>
          <w:lang w:val="nl-NL"/>
        </w:rPr>
        <w:t xml:space="preserve"> cung cấp các dịch vụ Quản trị Quỹ và Đại lý Chuyển nhượng cho Quỹ Đầu tư Tăng trưởng DFVN (DFVN-CAF)</w:t>
      </w:r>
      <w:r w:rsidR="00C0699B" w:rsidRPr="004F236F">
        <w:rPr>
          <w:rFonts w:ascii="Times New Roman" w:hAnsi="Times New Roman"/>
          <w:sz w:val="24"/>
          <w:szCs w:val="24"/>
          <w:lang w:val="nl-NL"/>
        </w:rPr>
        <w:t xml:space="preserve"> được thực hiện thông suốt, không gây ảnh hưởng tới hoạt động đầu tư của nhà đầu tư</w:t>
      </w:r>
      <w:r w:rsidR="00175F80" w:rsidRPr="004F236F">
        <w:rPr>
          <w:rFonts w:ascii="Times New Roman" w:hAnsi="Times New Roman"/>
          <w:sz w:val="24"/>
          <w:szCs w:val="24"/>
          <w:lang w:val="nl-NL"/>
        </w:rPr>
        <w:t>.</w:t>
      </w:r>
      <w:r w:rsidR="00C0699B" w:rsidRPr="002A7FEF">
        <w:rPr>
          <w:rFonts w:ascii="Times New Roman" w:hAnsi="Times New Roman"/>
          <w:sz w:val="24"/>
          <w:szCs w:val="24"/>
          <w:lang w:val="nl-NL"/>
        </w:rPr>
        <w:t xml:space="preserve"> </w:t>
      </w:r>
    </w:p>
    <w:p w:rsidR="00100534" w:rsidRPr="002A7FEF" w:rsidRDefault="00100534" w:rsidP="00100534">
      <w:pPr>
        <w:tabs>
          <w:tab w:val="left" w:pos="993"/>
        </w:tabs>
        <w:spacing w:after="0" w:line="312" w:lineRule="auto"/>
        <w:jc w:val="both"/>
        <w:rPr>
          <w:rFonts w:ascii="Times New Roman" w:hAnsi="Times New Roman"/>
          <w:sz w:val="24"/>
          <w:szCs w:val="24"/>
          <w:lang w:val="nl-NL"/>
        </w:rPr>
      </w:pPr>
    </w:p>
    <w:tbl>
      <w:tblPr>
        <w:tblW w:w="9252" w:type="dxa"/>
        <w:tblInd w:w="108" w:type="dxa"/>
        <w:tblLook w:val="01E0" w:firstRow="1" w:lastRow="1" w:firstColumn="1" w:lastColumn="1" w:noHBand="0" w:noVBand="0"/>
      </w:tblPr>
      <w:tblGrid>
        <w:gridCol w:w="4556"/>
        <w:gridCol w:w="4696"/>
      </w:tblGrid>
      <w:tr w:rsidR="00100534" w:rsidRPr="002A7FEF" w:rsidTr="004F236F">
        <w:tc>
          <w:tcPr>
            <w:tcW w:w="4556" w:type="dxa"/>
          </w:tcPr>
          <w:p w:rsidR="00100534" w:rsidRPr="002A7FEF" w:rsidRDefault="00100534" w:rsidP="000E5BC9">
            <w:pPr>
              <w:spacing w:after="0" w:line="300" w:lineRule="auto"/>
              <w:jc w:val="both"/>
              <w:rPr>
                <w:rFonts w:ascii="Times New Roman" w:hAnsi="Times New Roman"/>
                <w:b/>
                <w:i/>
                <w:sz w:val="24"/>
                <w:szCs w:val="24"/>
                <w:lang w:val="nl-NL"/>
              </w:rPr>
            </w:pPr>
          </w:p>
        </w:tc>
        <w:tc>
          <w:tcPr>
            <w:tcW w:w="4696" w:type="dxa"/>
          </w:tcPr>
          <w:p w:rsidR="00100534" w:rsidRPr="002A7FEF" w:rsidRDefault="00100534" w:rsidP="000E5BC9">
            <w:pPr>
              <w:spacing w:after="0" w:line="300" w:lineRule="auto"/>
              <w:jc w:val="center"/>
              <w:rPr>
                <w:rFonts w:ascii="Times New Roman" w:hAnsi="Times New Roman"/>
                <w:b/>
                <w:bCs/>
                <w:sz w:val="24"/>
                <w:szCs w:val="24"/>
                <w:lang w:val="nl-NL"/>
              </w:rPr>
            </w:pPr>
            <w:r w:rsidRPr="002A7FEF">
              <w:rPr>
                <w:rFonts w:ascii="Times New Roman" w:hAnsi="Times New Roman"/>
                <w:b/>
                <w:bCs/>
                <w:sz w:val="24"/>
                <w:szCs w:val="24"/>
                <w:lang w:val="nl-NL"/>
              </w:rPr>
              <w:t>Tổng Giám đốc Công ty quản lý quỹ</w:t>
            </w:r>
          </w:p>
          <w:p w:rsidR="00100534" w:rsidRPr="002A7FEF" w:rsidRDefault="004F236F" w:rsidP="000E5BC9">
            <w:pPr>
              <w:spacing w:after="0" w:line="300" w:lineRule="auto"/>
              <w:jc w:val="center"/>
              <w:rPr>
                <w:rFonts w:ascii="Times New Roman" w:hAnsi="Times New Roman"/>
                <w:i/>
                <w:sz w:val="24"/>
                <w:szCs w:val="24"/>
                <w:lang w:val="nl-NL"/>
              </w:rPr>
            </w:pPr>
            <w:r>
              <w:rPr>
                <w:rFonts w:ascii="Times New Roman" w:hAnsi="Times New Roman"/>
                <w:i/>
                <w:sz w:val="24"/>
                <w:szCs w:val="24"/>
                <w:lang w:val="nl-NL"/>
              </w:rPr>
              <w:t>Trần Châu Danh</w:t>
            </w:r>
          </w:p>
        </w:tc>
      </w:tr>
    </w:tbl>
    <w:p w:rsidR="00F45234" w:rsidRPr="002A7FEF" w:rsidRDefault="006A422D">
      <w:pPr>
        <w:rPr>
          <w:rFonts w:ascii="Times New Roman" w:hAnsi="Times New Roman"/>
          <w:sz w:val="24"/>
          <w:szCs w:val="24"/>
        </w:rPr>
      </w:pPr>
    </w:p>
    <w:sectPr w:rsidR="00F45234" w:rsidRPr="002A7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37D4"/>
    <w:multiLevelType w:val="hybridMultilevel"/>
    <w:tmpl w:val="01B4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13144"/>
    <w:multiLevelType w:val="hybridMultilevel"/>
    <w:tmpl w:val="A156C73E"/>
    <w:lvl w:ilvl="0" w:tplc="FE22018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D39074D"/>
    <w:multiLevelType w:val="hybridMultilevel"/>
    <w:tmpl w:val="D3FAC414"/>
    <w:lvl w:ilvl="0" w:tplc="0409000B">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15:restartNumberingAfterBreak="0">
    <w:nsid w:val="1665523E"/>
    <w:multiLevelType w:val="hybridMultilevel"/>
    <w:tmpl w:val="273EDDF0"/>
    <w:lvl w:ilvl="0" w:tplc="CB005032">
      <w:start w:val="1"/>
      <w:numFmt w:val="lowerLetter"/>
      <w:lvlText w:val="%1)"/>
      <w:lvlJc w:val="left"/>
      <w:pPr>
        <w:ind w:left="36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1916E7F"/>
    <w:multiLevelType w:val="hybridMultilevel"/>
    <w:tmpl w:val="3960608C"/>
    <w:lvl w:ilvl="0" w:tplc="84DC6E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707C4"/>
    <w:multiLevelType w:val="hybridMultilevel"/>
    <w:tmpl w:val="5784C46A"/>
    <w:lvl w:ilvl="0" w:tplc="C3E83D2E">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A576CE5"/>
    <w:multiLevelType w:val="hybridMultilevel"/>
    <w:tmpl w:val="D770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75D3B"/>
    <w:multiLevelType w:val="hybridMultilevel"/>
    <w:tmpl w:val="35DE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B5865"/>
    <w:multiLevelType w:val="hybridMultilevel"/>
    <w:tmpl w:val="E4DED1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156AE5"/>
    <w:multiLevelType w:val="hybridMultilevel"/>
    <w:tmpl w:val="C59EB80A"/>
    <w:lvl w:ilvl="0" w:tplc="F522A0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133D7"/>
    <w:multiLevelType w:val="hybridMultilevel"/>
    <w:tmpl w:val="F1141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BA1DA9"/>
    <w:multiLevelType w:val="hybridMultilevel"/>
    <w:tmpl w:val="0AEC7F08"/>
    <w:lvl w:ilvl="0" w:tplc="8EE09956">
      <w:numFmt w:val="bullet"/>
      <w:lvlText w:val="-"/>
      <w:lvlJc w:val="left"/>
      <w:pPr>
        <w:ind w:left="720" w:hanging="360"/>
      </w:pPr>
      <w:rPr>
        <w:rFonts w:ascii="Times New Roman" w:eastAsiaTheme="minorHAnsi"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13A88"/>
    <w:multiLevelType w:val="hybridMultilevel"/>
    <w:tmpl w:val="813EC2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1DB670D"/>
    <w:multiLevelType w:val="hybridMultilevel"/>
    <w:tmpl w:val="68560C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25499C"/>
    <w:multiLevelType w:val="hybridMultilevel"/>
    <w:tmpl w:val="AA02B14C"/>
    <w:lvl w:ilvl="0" w:tplc="70DC07EA">
      <w:start w:val="1"/>
      <w:numFmt w:val="upperRoman"/>
      <w:lvlText w:val="%1."/>
      <w:lvlJc w:val="left"/>
      <w:pPr>
        <w:ind w:left="1080" w:hanging="720"/>
      </w:pPr>
      <w:rPr>
        <w:rFonts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180"/>
      </w:pPr>
    </w:lvl>
    <w:lvl w:ilvl="3" w:tplc="04090001">
      <w:start w:val="1"/>
      <w:numFmt w:val="bullet"/>
      <w:lvlText w:val=""/>
      <w:lvlJc w:val="left"/>
      <w:pPr>
        <w:ind w:left="2880" w:hanging="360"/>
      </w:pPr>
      <w:rPr>
        <w:rFonts w:ascii="Symbol" w:hAnsi="Symbol" w:hint="default"/>
      </w:rPr>
    </w:lvl>
    <w:lvl w:ilvl="4" w:tplc="2022F94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623732"/>
    <w:multiLevelType w:val="hybridMultilevel"/>
    <w:tmpl w:val="0C40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F772BE"/>
    <w:multiLevelType w:val="hybridMultilevel"/>
    <w:tmpl w:val="D714C36A"/>
    <w:lvl w:ilvl="0" w:tplc="F57091E8">
      <w:start w:val="1"/>
      <w:numFmt w:val="lowerLetter"/>
      <w:lvlText w:val="%1)"/>
      <w:lvlJc w:val="left"/>
      <w:pPr>
        <w:ind w:left="36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65729FE"/>
    <w:multiLevelType w:val="hybridMultilevel"/>
    <w:tmpl w:val="459C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7F59CC"/>
    <w:multiLevelType w:val="hybridMultilevel"/>
    <w:tmpl w:val="A912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9268AC"/>
    <w:multiLevelType w:val="hybridMultilevel"/>
    <w:tmpl w:val="7BC48B9C"/>
    <w:lvl w:ilvl="0" w:tplc="DD28E652">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9"/>
  </w:num>
  <w:num w:numId="2">
    <w:abstractNumId w:val="16"/>
  </w:num>
  <w:num w:numId="3">
    <w:abstractNumId w:val="5"/>
  </w:num>
  <w:num w:numId="4">
    <w:abstractNumId w:val="19"/>
  </w:num>
  <w:num w:numId="5">
    <w:abstractNumId w:val="3"/>
  </w:num>
  <w:num w:numId="6">
    <w:abstractNumId w:val="1"/>
  </w:num>
  <w:num w:numId="7">
    <w:abstractNumId w:val="4"/>
  </w:num>
  <w:num w:numId="8">
    <w:abstractNumId w:val="10"/>
  </w:num>
  <w:num w:numId="9">
    <w:abstractNumId w:val="12"/>
  </w:num>
  <w:num w:numId="10">
    <w:abstractNumId w:val="8"/>
  </w:num>
  <w:num w:numId="11">
    <w:abstractNumId w:val="17"/>
  </w:num>
  <w:num w:numId="12">
    <w:abstractNumId w:val="11"/>
  </w:num>
  <w:num w:numId="13">
    <w:abstractNumId w:val="14"/>
  </w:num>
  <w:num w:numId="14">
    <w:abstractNumId w:val="18"/>
  </w:num>
  <w:num w:numId="15">
    <w:abstractNumId w:val="2"/>
  </w:num>
  <w:num w:numId="16">
    <w:abstractNumId w:val="7"/>
  </w:num>
  <w:num w:numId="17">
    <w:abstractNumId w:val="15"/>
  </w:num>
  <w:num w:numId="18">
    <w:abstractNumId w:val="0"/>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34"/>
    <w:rsid w:val="00063E75"/>
    <w:rsid w:val="00081E5D"/>
    <w:rsid w:val="000A2248"/>
    <w:rsid w:val="000B0D9A"/>
    <w:rsid w:val="000B55D2"/>
    <w:rsid w:val="00100534"/>
    <w:rsid w:val="001123FF"/>
    <w:rsid w:val="00175F80"/>
    <w:rsid w:val="001C0E26"/>
    <w:rsid w:val="0020125F"/>
    <w:rsid w:val="00201527"/>
    <w:rsid w:val="002072C5"/>
    <w:rsid w:val="002A7FEF"/>
    <w:rsid w:val="002D2B08"/>
    <w:rsid w:val="002E7553"/>
    <w:rsid w:val="00355F1F"/>
    <w:rsid w:val="00365443"/>
    <w:rsid w:val="003A0280"/>
    <w:rsid w:val="003B5D8B"/>
    <w:rsid w:val="004352B7"/>
    <w:rsid w:val="004D7F59"/>
    <w:rsid w:val="004F236F"/>
    <w:rsid w:val="005A634F"/>
    <w:rsid w:val="00645123"/>
    <w:rsid w:val="006A422D"/>
    <w:rsid w:val="00730F2E"/>
    <w:rsid w:val="00743A96"/>
    <w:rsid w:val="00780773"/>
    <w:rsid w:val="007D5FD9"/>
    <w:rsid w:val="007F7157"/>
    <w:rsid w:val="008324C6"/>
    <w:rsid w:val="008818F9"/>
    <w:rsid w:val="00A87211"/>
    <w:rsid w:val="00AA2CB5"/>
    <w:rsid w:val="00AC01E9"/>
    <w:rsid w:val="00AC06E2"/>
    <w:rsid w:val="00AE6D17"/>
    <w:rsid w:val="00B27B45"/>
    <w:rsid w:val="00B82976"/>
    <w:rsid w:val="00BC38CC"/>
    <w:rsid w:val="00C0699B"/>
    <w:rsid w:val="00C61033"/>
    <w:rsid w:val="00CD76F9"/>
    <w:rsid w:val="00D827C2"/>
    <w:rsid w:val="00DD5A6A"/>
    <w:rsid w:val="00E20EFB"/>
    <w:rsid w:val="00E265CF"/>
    <w:rsid w:val="00E83C48"/>
    <w:rsid w:val="00EB1EC6"/>
    <w:rsid w:val="00F14AC7"/>
    <w:rsid w:val="00F27D08"/>
    <w:rsid w:val="00FE0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3CA3"/>
  <w15:docId w15:val="{B68A17DE-00B5-46F9-9E28-A081069A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53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534"/>
    <w:pPr>
      <w:ind w:left="720"/>
      <w:contextualSpacing/>
    </w:pPr>
  </w:style>
  <w:style w:type="paragraph" w:styleId="BalloonText">
    <w:name w:val="Balloon Text"/>
    <w:basedOn w:val="Normal"/>
    <w:link w:val="BalloonTextChar"/>
    <w:uiPriority w:val="99"/>
    <w:semiHidden/>
    <w:unhideWhenUsed/>
    <w:rsid w:val="00063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E75"/>
    <w:rPr>
      <w:rFonts w:ascii="Segoe UI" w:eastAsia="Calibri" w:hAnsi="Segoe UI" w:cs="Segoe UI"/>
      <w:sz w:val="18"/>
      <w:szCs w:val="18"/>
    </w:rPr>
  </w:style>
  <w:style w:type="table" w:styleId="TableGrid">
    <w:name w:val="Table Grid"/>
    <w:basedOn w:val="TableNormal"/>
    <w:uiPriority w:val="59"/>
    <w:rsid w:val="00AA2CB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2CB5"/>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754508">
      <w:bodyDiv w:val="1"/>
      <w:marLeft w:val="0"/>
      <w:marRight w:val="0"/>
      <w:marTop w:val="0"/>
      <w:marBottom w:val="0"/>
      <w:divBdr>
        <w:top w:val="none" w:sz="0" w:space="0" w:color="auto"/>
        <w:left w:val="none" w:sz="0" w:space="0" w:color="auto"/>
        <w:bottom w:val="none" w:sz="0" w:space="0" w:color="auto"/>
        <w:right w:val="none" w:sz="0" w:space="0" w:color="auto"/>
      </w:divBdr>
    </w:div>
    <w:div w:id="1164667569">
      <w:bodyDiv w:val="1"/>
      <w:marLeft w:val="0"/>
      <w:marRight w:val="0"/>
      <w:marTop w:val="0"/>
      <w:marBottom w:val="0"/>
      <w:divBdr>
        <w:top w:val="none" w:sz="0" w:space="0" w:color="auto"/>
        <w:left w:val="none" w:sz="0" w:space="0" w:color="auto"/>
        <w:bottom w:val="none" w:sz="0" w:space="0" w:color="auto"/>
        <w:right w:val="none" w:sz="0" w:space="0" w:color="auto"/>
      </w:divBdr>
    </w:div>
    <w:div w:id="1333409742">
      <w:bodyDiv w:val="1"/>
      <w:marLeft w:val="0"/>
      <w:marRight w:val="0"/>
      <w:marTop w:val="0"/>
      <w:marBottom w:val="0"/>
      <w:divBdr>
        <w:top w:val="none" w:sz="0" w:space="0" w:color="auto"/>
        <w:left w:val="none" w:sz="0" w:space="0" w:color="auto"/>
        <w:bottom w:val="none" w:sz="0" w:space="0" w:color="auto"/>
        <w:right w:val="none" w:sz="0" w:space="0" w:color="auto"/>
      </w:divBdr>
    </w:div>
    <w:div w:id="1443454058">
      <w:bodyDiv w:val="1"/>
      <w:marLeft w:val="0"/>
      <w:marRight w:val="0"/>
      <w:marTop w:val="0"/>
      <w:marBottom w:val="0"/>
      <w:divBdr>
        <w:top w:val="none" w:sz="0" w:space="0" w:color="auto"/>
        <w:left w:val="none" w:sz="0" w:space="0" w:color="auto"/>
        <w:bottom w:val="none" w:sz="0" w:space="0" w:color="auto"/>
        <w:right w:val="none" w:sz="0" w:space="0" w:color="auto"/>
      </w:divBdr>
    </w:div>
    <w:div w:id="174163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54630.2195AF1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54630.2195AF1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2465</Words>
  <Characters>14052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Tram, Tran Thi Anh [DFVN]</dc:creator>
  <cp:lastModifiedBy>Tram, Tran Thi Anh [DFVN]</cp:lastModifiedBy>
  <cp:revision>11</cp:revision>
  <dcterms:created xsi:type="dcterms:W3CDTF">2019-07-23T09:09:00Z</dcterms:created>
  <dcterms:modified xsi:type="dcterms:W3CDTF">2019-07-29T11:50:00Z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77de07b1ee0d4a78ad8f1114ded2b3e2.psdsxs" Id="Rebefad445af14fbc" /></Relationships>
</file>